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华文仿宋" w:hAnsi="华文仿宋" w:eastAsia="华文仿宋" w:cs="华文仿宋"/>
          <w:kern w:val="0"/>
          <w:sz w:val="28"/>
          <w:szCs w:val="28"/>
          <w:bdr w:val="none" w:color="auto" w:sz="0" w:space="0"/>
          <w:lang w:val="en-US" w:eastAsia="zh-CN" w:bidi="ar"/>
        </w:rPr>
      </w:pPr>
      <w:r>
        <w:rPr>
          <w:rStyle w:val="5"/>
          <w:rFonts w:hint="eastAsia" w:ascii="华文仿宋" w:hAnsi="华文仿宋" w:eastAsia="华文仿宋" w:cs="华文仿宋"/>
          <w:kern w:val="0"/>
          <w:sz w:val="28"/>
          <w:szCs w:val="28"/>
          <w:bdr w:val="none" w:color="auto" w:sz="0" w:space="0"/>
          <w:lang w:val="en-US" w:eastAsia="zh-CN" w:bidi="ar"/>
        </w:rPr>
        <w:t>湖南省普通高校招生考试考生违规行为认定及处理程序</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auto"/>
        <w:rPr>
          <w:rFonts w:hint="eastAsia" w:ascii="华文仿宋" w:hAnsi="华文仿宋" w:eastAsia="华文仿宋" w:cs="华文仿宋"/>
          <w:kern w:val="0"/>
          <w:sz w:val="22"/>
          <w:szCs w:val="22"/>
          <w:bdr w:val="none" w:color="auto" w:sz="0" w:space="0"/>
          <w:lang w:val="en-US" w:eastAsia="zh-CN" w:bidi="ar"/>
        </w:rPr>
      </w:pPr>
      <w:r>
        <w:rPr>
          <w:rFonts w:hint="eastAsia" w:ascii="华文仿宋" w:hAnsi="华文仿宋" w:eastAsia="华文仿宋" w:cs="华文仿宋"/>
          <w:kern w:val="0"/>
          <w:sz w:val="22"/>
          <w:szCs w:val="22"/>
          <w:bdr w:val="none" w:color="auto" w:sz="0" w:space="0"/>
          <w:lang w:val="en-US" w:eastAsia="zh-CN" w:bidi="ar"/>
        </w:rPr>
        <w:t>为规范普通高校招生考试违规行为的认定与处理，维护国家教育考试的公平、公正，根据《国家教育考试违规处理办法》（教育部令第33号）的有关规定，现将湖南省普通高校招生考试考生违规行为认定及处理程序明确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440" w:firstLineChars="200"/>
        <w:jc w:val="left"/>
        <w:textAlignment w:val="auto"/>
        <w:rPr>
          <w:rFonts w:hint="eastAsia" w:ascii="华文仿宋" w:hAnsi="华文仿宋" w:eastAsia="华文仿宋" w:cs="华文仿宋"/>
          <w:kern w:val="0"/>
          <w:sz w:val="22"/>
          <w:szCs w:val="22"/>
          <w:bdr w:val="none" w:color="auto" w:sz="0" w:space="0"/>
          <w:lang w:val="en-US" w:eastAsia="zh-CN" w:bidi="ar"/>
        </w:rPr>
      </w:pPr>
      <w:r>
        <w:rPr>
          <w:rFonts w:hint="eastAsia" w:ascii="华文仿宋" w:hAnsi="华文仿宋" w:eastAsia="华文仿宋" w:cs="华文仿宋"/>
          <w:kern w:val="0"/>
          <w:sz w:val="22"/>
          <w:szCs w:val="22"/>
          <w:bdr w:val="none" w:color="auto" w:sz="0" w:space="0"/>
          <w:lang w:val="en-US" w:eastAsia="zh-CN" w:bidi="ar"/>
        </w:rPr>
        <w:t>违规行为认定程序考生违反考试有关规定的，应依据《国家教育考试违规处理办法》（教育部令第33号）的有关规定，认定为违纪或作弊，认定和告知程序如下：</w:t>
      </w:r>
    </w:p>
    <w:p>
      <w:pPr>
        <w:keepNext w:val="0"/>
        <w:keepLines w:val="0"/>
        <w:pageBreakBefore w:val="0"/>
        <w:widowControl/>
        <w:numPr>
          <w:numId w:val="0"/>
        </w:numPr>
        <w:suppressLineNumbers w:val="0"/>
        <w:kinsoku/>
        <w:wordWrap/>
        <w:overflowPunct/>
        <w:topLinePunct w:val="0"/>
        <w:autoSpaceDE/>
        <w:autoSpaceDN/>
        <w:bidi w:val="0"/>
        <w:adjustRightInd/>
        <w:snapToGrid/>
        <w:ind w:firstLine="440" w:firstLineChars="200"/>
        <w:jc w:val="left"/>
        <w:textAlignment w:val="auto"/>
        <w:rPr>
          <w:rFonts w:hint="eastAsia" w:ascii="华文仿宋" w:hAnsi="华文仿宋" w:eastAsia="华文仿宋" w:cs="华文仿宋"/>
          <w:kern w:val="0"/>
          <w:sz w:val="40"/>
          <w:szCs w:val="40"/>
          <w:bdr w:val="none" w:color="auto" w:sz="0" w:space="0"/>
          <w:lang w:val="en-US" w:eastAsia="zh-CN" w:bidi="ar"/>
        </w:rPr>
      </w:pPr>
      <w:r>
        <w:rPr>
          <w:rFonts w:hint="eastAsia" w:ascii="华文仿宋" w:hAnsi="华文仿宋" w:eastAsia="华文仿宋" w:cs="华文仿宋"/>
          <w:kern w:val="0"/>
          <w:sz w:val="22"/>
          <w:szCs w:val="22"/>
          <w:bdr w:val="none" w:color="auto" w:sz="0" w:space="0"/>
          <w:lang w:val="en-US" w:eastAsia="zh-CN" w:bidi="ar"/>
        </w:rPr>
        <w:t>1．考试工作人员在考试过程中发现考生有违规行为的，监考员应当及时予以纠正并如实填写《湖南省普通高校招生考试违规考生告知书（存根联）》（见附表1）及《湖南省普通高校招生考试违规考生告知书（考生联）》（见附表2），对考生用于违纪作弊的材料、工具等，应予暂扣，对暂扣的考生物品应填写收据。考生违规事实记录作为认定考生违规事实的依据，由两名以上监考员和考点负责人签字确认。考试工作人员应当向违规考生告知记录的内容，将存根联交由考生本人签字确认，若考生不配合签字的，须由两名工作人员签字并说明事由，签字后的告知书（存根联）与考生违规材料一起交由当地教育考试机构（或考点）汇总后，逐级上交到省教育考试院；考生联交由考生本人收存。</w:t>
      </w:r>
    </w:p>
    <w:p>
      <w:pPr>
        <w:keepNext w:val="0"/>
        <w:keepLines w:val="0"/>
        <w:pageBreakBefore w:val="0"/>
        <w:widowControl/>
        <w:numPr>
          <w:numId w:val="0"/>
        </w:numPr>
        <w:suppressLineNumbers w:val="0"/>
        <w:kinsoku/>
        <w:wordWrap/>
        <w:overflowPunct/>
        <w:topLinePunct w:val="0"/>
        <w:autoSpaceDE/>
        <w:autoSpaceDN/>
        <w:bidi w:val="0"/>
        <w:adjustRightInd/>
        <w:snapToGrid/>
        <w:ind w:firstLine="440" w:firstLineChars="200"/>
        <w:jc w:val="left"/>
        <w:textAlignment w:val="auto"/>
        <w:rPr>
          <w:rFonts w:hint="eastAsia" w:ascii="华文仿宋" w:hAnsi="华文仿宋" w:eastAsia="华文仿宋" w:cs="华文仿宋"/>
          <w:kern w:val="0"/>
          <w:sz w:val="22"/>
          <w:szCs w:val="22"/>
          <w:bdr w:val="none" w:color="auto" w:sz="0" w:space="0"/>
          <w:lang w:val="en-US" w:eastAsia="zh-CN" w:bidi="ar"/>
        </w:rPr>
      </w:pPr>
      <w:r>
        <w:rPr>
          <w:rFonts w:hint="eastAsia" w:ascii="华文仿宋" w:hAnsi="华文仿宋" w:eastAsia="华文仿宋" w:cs="华文仿宋"/>
          <w:kern w:val="0"/>
          <w:sz w:val="22"/>
          <w:szCs w:val="22"/>
          <w:bdr w:val="none" w:color="auto" w:sz="0" w:space="0"/>
          <w:lang w:val="en-US" w:eastAsia="zh-CN" w:bidi="ar"/>
        </w:rPr>
        <w:t>2．省教育考试院在审看考试视频监控录像时发现的违规行为，应将考生违规时段的录像予以保存，并如实记录违规考生相关信息和违规事实。省教育考试院将违规考生相关信息及视频录像下发给相关教育考试机构，经核实违规考生相关信息后，由当地教育考试机构工作人员如实填写《湖南省普通高校招生考试违规考生告知书（存根联）》及《湖南省普通高校招生考试违规考生告知书（考生联）》。当地教育考试机构应尽快通知考生本人到指定地点签收告知书，并将存根联交由考生本人（或考生法定监护人）签字确认，若考生（或考生法定监护人）不配合签字的，须由两名工作人员签字并说明事由，签字后的存根联由当地教育考试机构汇总后，逐级上交到省教育考试院；考生联交由考生本人（或考生法定监护人）收存。如果考生本人不来现场签收的，由当地教育考试机构采取其他有效方式告知考生，并将有效告知签字后的告知书（存根联）逐级汇总上交到省教育考试院。</w:t>
      </w:r>
    </w:p>
    <w:p>
      <w:pPr>
        <w:keepNext w:val="0"/>
        <w:keepLines w:val="0"/>
        <w:pageBreakBefore w:val="0"/>
        <w:widowControl/>
        <w:numPr>
          <w:numId w:val="0"/>
        </w:numPr>
        <w:suppressLineNumbers w:val="0"/>
        <w:kinsoku/>
        <w:wordWrap/>
        <w:overflowPunct/>
        <w:topLinePunct w:val="0"/>
        <w:autoSpaceDE/>
        <w:autoSpaceDN/>
        <w:bidi w:val="0"/>
        <w:adjustRightInd/>
        <w:snapToGrid/>
        <w:ind w:firstLine="440" w:firstLineChars="200"/>
        <w:jc w:val="left"/>
        <w:textAlignment w:val="auto"/>
        <w:rPr>
          <w:rFonts w:hint="eastAsia" w:ascii="华文仿宋" w:hAnsi="华文仿宋" w:eastAsia="华文仿宋" w:cs="华文仿宋"/>
          <w:kern w:val="0"/>
          <w:sz w:val="22"/>
          <w:szCs w:val="22"/>
          <w:bdr w:val="none" w:color="auto" w:sz="0" w:space="0"/>
          <w:lang w:val="en-US" w:eastAsia="zh-CN" w:bidi="ar"/>
        </w:rPr>
      </w:pPr>
      <w:r>
        <w:rPr>
          <w:rFonts w:hint="eastAsia" w:ascii="华文仿宋" w:hAnsi="华文仿宋" w:eastAsia="华文仿宋" w:cs="华文仿宋"/>
          <w:kern w:val="0"/>
          <w:sz w:val="22"/>
          <w:szCs w:val="22"/>
          <w:bdr w:val="none" w:color="auto" w:sz="0" w:space="0"/>
          <w:lang w:val="en-US" w:eastAsia="zh-CN" w:bidi="ar"/>
        </w:rPr>
        <w:t>3．在评卷过程中发现的考生违规行为，由省教育考试院记录汇总违规考生信息和违规事实，其认定和告知程序按第2条的办法执行。</w:t>
      </w:r>
    </w:p>
    <w:p>
      <w:pPr>
        <w:keepNext w:val="0"/>
        <w:keepLines w:val="0"/>
        <w:pageBreakBefore w:val="0"/>
        <w:widowControl/>
        <w:numPr>
          <w:numId w:val="0"/>
        </w:numPr>
        <w:suppressLineNumbers w:val="0"/>
        <w:kinsoku/>
        <w:wordWrap/>
        <w:overflowPunct/>
        <w:topLinePunct w:val="0"/>
        <w:autoSpaceDE/>
        <w:autoSpaceDN/>
        <w:bidi w:val="0"/>
        <w:adjustRightInd/>
        <w:snapToGrid/>
        <w:ind w:firstLine="440" w:firstLineChars="200"/>
        <w:jc w:val="left"/>
        <w:textAlignment w:val="auto"/>
        <w:rPr>
          <w:rFonts w:hint="eastAsia" w:ascii="华文仿宋" w:hAnsi="华文仿宋" w:eastAsia="华文仿宋" w:cs="华文仿宋"/>
          <w:kern w:val="0"/>
          <w:sz w:val="22"/>
          <w:szCs w:val="22"/>
          <w:bdr w:val="none" w:color="auto" w:sz="0" w:space="0"/>
          <w:lang w:val="en-US" w:eastAsia="zh-CN" w:bidi="ar"/>
        </w:rPr>
      </w:pPr>
      <w:r>
        <w:rPr>
          <w:rFonts w:hint="eastAsia" w:ascii="华文仿宋" w:hAnsi="华文仿宋" w:eastAsia="华文仿宋" w:cs="华文仿宋"/>
          <w:kern w:val="0"/>
          <w:sz w:val="22"/>
          <w:szCs w:val="22"/>
          <w:bdr w:val="none" w:color="auto" w:sz="0" w:space="0"/>
          <w:lang w:val="en-US" w:eastAsia="zh-CN" w:bidi="ar"/>
        </w:rPr>
        <w:t>二、违规行为处理程序经认定确认违规的考生，按以下程序进行处理：</w:t>
      </w:r>
    </w:p>
    <w:p>
      <w:pPr>
        <w:keepNext w:val="0"/>
        <w:keepLines w:val="0"/>
        <w:pageBreakBefore w:val="0"/>
        <w:widowControl/>
        <w:numPr>
          <w:numId w:val="0"/>
        </w:numPr>
        <w:suppressLineNumbers w:val="0"/>
        <w:kinsoku/>
        <w:wordWrap/>
        <w:overflowPunct/>
        <w:topLinePunct w:val="0"/>
        <w:autoSpaceDE/>
        <w:autoSpaceDN/>
        <w:bidi w:val="0"/>
        <w:adjustRightInd/>
        <w:snapToGrid/>
        <w:ind w:firstLine="440" w:firstLineChars="200"/>
        <w:jc w:val="left"/>
        <w:textAlignment w:val="auto"/>
        <w:rPr>
          <w:rFonts w:hint="eastAsia" w:ascii="华文仿宋" w:hAnsi="华文仿宋" w:eastAsia="华文仿宋" w:cs="华文仿宋"/>
          <w:kern w:val="0"/>
          <w:sz w:val="22"/>
          <w:szCs w:val="22"/>
          <w:bdr w:val="none" w:color="auto" w:sz="0" w:space="0"/>
          <w:lang w:val="en-US" w:eastAsia="zh-CN" w:bidi="ar"/>
        </w:rPr>
      </w:pPr>
      <w:r>
        <w:rPr>
          <w:rFonts w:hint="eastAsia" w:ascii="华文仿宋" w:hAnsi="华文仿宋" w:eastAsia="华文仿宋" w:cs="华文仿宋"/>
          <w:kern w:val="0"/>
          <w:sz w:val="22"/>
          <w:szCs w:val="22"/>
          <w:bdr w:val="none" w:color="auto" w:sz="0" w:space="0"/>
          <w:lang w:val="en-US" w:eastAsia="zh-CN" w:bidi="ar"/>
        </w:rPr>
        <w:t>1．在签发处理文件前，省教育考试院复核违规事实和相关证据，依据相关规定，对违规考生作出相应处理，并通过正式文件作出处理决定。</w:t>
      </w:r>
    </w:p>
    <w:p>
      <w:pPr>
        <w:keepNext w:val="0"/>
        <w:keepLines w:val="0"/>
        <w:pageBreakBefore w:val="0"/>
        <w:widowControl/>
        <w:numPr>
          <w:numId w:val="0"/>
        </w:numPr>
        <w:suppressLineNumbers w:val="0"/>
        <w:kinsoku/>
        <w:wordWrap/>
        <w:overflowPunct/>
        <w:topLinePunct w:val="0"/>
        <w:autoSpaceDE/>
        <w:autoSpaceDN/>
        <w:bidi w:val="0"/>
        <w:adjustRightInd/>
        <w:snapToGrid/>
        <w:ind w:firstLine="440" w:firstLineChars="200"/>
        <w:jc w:val="left"/>
        <w:textAlignment w:val="auto"/>
        <w:rPr>
          <w:rFonts w:hint="eastAsia" w:ascii="华文仿宋" w:hAnsi="华文仿宋" w:eastAsia="华文仿宋" w:cs="华文仿宋"/>
          <w:kern w:val="0"/>
          <w:sz w:val="22"/>
          <w:szCs w:val="22"/>
          <w:bdr w:val="none" w:color="auto" w:sz="0" w:space="0"/>
          <w:lang w:val="en-US" w:eastAsia="zh-CN" w:bidi="ar"/>
        </w:rPr>
      </w:pPr>
      <w:r>
        <w:rPr>
          <w:rFonts w:hint="eastAsia" w:ascii="华文仿宋" w:hAnsi="华文仿宋" w:eastAsia="华文仿宋" w:cs="华文仿宋"/>
          <w:kern w:val="0"/>
          <w:sz w:val="22"/>
          <w:szCs w:val="22"/>
          <w:bdr w:val="none" w:color="auto" w:sz="0" w:space="0"/>
          <w:lang w:val="en-US" w:eastAsia="zh-CN" w:bidi="ar"/>
        </w:rPr>
        <w:t>2．省教育考试院依据处理文件，制作考试违规处理决定书（样式见附表3）一式两份，载明被处理人的姓名、处理事实根据和法律依据、处理决定的内容、救济途径以及做出处理决定的机构名称和做出处理决定的时间。</w:t>
      </w:r>
    </w:p>
    <w:p>
      <w:pPr>
        <w:keepNext w:val="0"/>
        <w:keepLines w:val="0"/>
        <w:pageBreakBefore w:val="0"/>
        <w:widowControl/>
        <w:numPr>
          <w:numId w:val="0"/>
        </w:numPr>
        <w:suppressLineNumbers w:val="0"/>
        <w:kinsoku/>
        <w:wordWrap/>
        <w:overflowPunct/>
        <w:topLinePunct w:val="0"/>
        <w:autoSpaceDE/>
        <w:autoSpaceDN/>
        <w:bidi w:val="0"/>
        <w:adjustRightInd/>
        <w:snapToGrid/>
        <w:ind w:firstLine="440" w:firstLineChars="200"/>
        <w:jc w:val="left"/>
        <w:textAlignment w:val="auto"/>
        <w:rPr>
          <w:rFonts w:hint="eastAsia" w:ascii="华文仿宋" w:hAnsi="华文仿宋" w:eastAsia="华文仿宋" w:cs="华文仿宋"/>
          <w:kern w:val="0"/>
          <w:sz w:val="22"/>
          <w:szCs w:val="22"/>
          <w:bdr w:val="none" w:color="auto" w:sz="0" w:space="0"/>
          <w:lang w:val="en-US" w:eastAsia="zh-CN" w:bidi="ar"/>
        </w:rPr>
      </w:pPr>
      <w:r>
        <w:rPr>
          <w:rFonts w:hint="eastAsia" w:ascii="华文仿宋" w:hAnsi="华文仿宋" w:eastAsia="华文仿宋" w:cs="华文仿宋"/>
          <w:kern w:val="0"/>
          <w:sz w:val="22"/>
          <w:szCs w:val="22"/>
          <w:bdr w:val="none" w:color="auto" w:sz="0" w:space="0"/>
          <w:lang w:val="en-US" w:eastAsia="zh-CN" w:bidi="ar"/>
        </w:rPr>
        <w:t>3．省教育考试院通过当地教育考试机构，将处理决定书一式两份送达考生本人（或考生法定监护人），其中一份交由考生本人（或考生法定监护人）签字确认，若考生（或考生法定监护人）不配合签字的，须由两名工作人员签字并说明事由，签字后的决定书留存当地教育考试机构存档备查；另一份交由考生本人（或考生法定监护人）收存。如果考生本人不来现场签收的，由当地教育考试机构采取其他有效方式送达考生，并将有效送达签字后的决定书留存当地教育考试机构存档备查。</w:t>
      </w:r>
    </w:p>
    <w:p>
      <w:pPr>
        <w:keepNext w:val="0"/>
        <w:keepLines w:val="0"/>
        <w:pageBreakBefore w:val="0"/>
        <w:widowControl/>
        <w:numPr>
          <w:numId w:val="0"/>
        </w:numPr>
        <w:suppressLineNumbers w:val="0"/>
        <w:kinsoku/>
        <w:wordWrap/>
        <w:overflowPunct/>
        <w:topLinePunct w:val="0"/>
        <w:autoSpaceDE/>
        <w:autoSpaceDN/>
        <w:bidi w:val="0"/>
        <w:adjustRightInd/>
        <w:snapToGrid/>
        <w:ind w:firstLine="440" w:firstLineChars="200"/>
        <w:jc w:val="left"/>
        <w:textAlignment w:val="auto"/>
        <w:rPr>
          <w:rFonts w:hint="eastAsia" w:ascii="华文仿宋" w:hAnsi="华文仿宋" w:eastAsia="华文仿宋" w:cs="华文仿宋"/>
          <w:kern w:val="0"/>
          <w:sz w:val="24"/>
          <w:szCs w:val="24"/>
          <w:bdr w:val="none" w:color="auto" w:sz="0" w:space="0"/>
          <w:lang w:val="en-US" w:eastAsia="zh-CN" w:bidi="ar"/>
        </w:rPr>
      </w:pPr>
      <w:r>
        <w:rPr>
          <w:rFonts w:hint="eastAsia" w:ascii="华文仿宋" w:hAnsi="华文仿宋" w:eastAsia="华文仿宋" w:cs="华文仿宋"/>
          <w:kern w:val="0"/>
          <w:sz w:val="22"/>
          <w:szCs w:val="22"/>
          <w:bdr w:val="none" w:color="auto" w:sz="0" w:space="0"/>
          <w:lang w:val="en-US" w:eastAsia="zh-CN" w:bidi="ar"/>
        </w:rPr>
        <w:t>4．考生对违规处理决定不服的，可以在规定时限内向省级教育行政部门提出复核申请，由其进行复核，并作出复核决定。申请人对复核决定或者处理决定不服的，可以依法申请行政复议或者提起行政诉讼。</w:t>
      </w:r>
      <w:r>
        <w:rPr>
          <w:rFonts w:hint="eastAsia" w:ascii="华文仿宋" w:hAnsi="华文仿宋" w:eastAsia="华文仿宋" w:cs="华文仿宋"/>
          <w:kern w:val="0"/>
          <w:sz w:val="22"/>
          <w:szCs w:val="22"/>
          <w:bdr w:val="none" w:color="auto" w:sz="0" w:space="0"/>
          <w:lang w:val="en-US" w:eastAsia="zh-CN" w:bidi="ar"/>
        </w:rPr>
        <w:br w:type="textWrapping"/>
      </w:r>
      <w:r>
        <w:rPr>
          <w:rFonts w:hint="eastAsia" w:ascii="华文仿宋" w:hAnsi="华文仿宋" w:eastAsia="华文仿宋" w:cs="华文仿宋"/>
          <w:kern w:val="0"/>
          <w:sz w:val="24"/>
          <w:szCs w:val="24"/>
          <w:bdr w:val="none" w:color="auto" w:sz="0" w:space="0"/>
          <w:lang w:val="en-US" w:eastAsia="zh-CN" w:bidi="ar"/>
        </w:rPr>
        <w:t>附表：</w:t>
      </w:r>
    </w:p>
    <w:p>
      <w:pPr>
        <w:keepNext w:val="0"/>
        <w:keepLines w:val="0"/>
        <w:widowControl/>
        <w:numPr>
          <w:numId w:val="0"/>
        </w:numPr>
        <w:suppressLineNumbers w:val="0"/>
        <w:jc w:val="left"/>
        <w:rPr>
          <w:rFonts w:hint="eastAsia" w:ascii="华文仿宋" w:hAnsi="华文仿宋" w:eastAsia="华文仿宋" w:cs="华文仿宋"/>
          <w:sz w:val="24"/>
          <w:szCs w:val="24"/>
        </w:rPr>
      </w:pPr>
      <w:r>
        <w:rPr>
          <w:rFonts w:hint="eastAsia" w:ascii="华文仿宋" w:hAnsi="华文仿宋" w:eastAsia="华文仿宋" w:cs="华文仿宋"/>
          <w:kern w:val="0"/>
          <w:sz w:val="24"/>
          <w:szCs w:val="24"/>
          <w:bdr w:val="none" w:color="auto" w:sz="0" w:space="0"/>
          <w:lang w:val="en-US" w:eastAsia="zh-CN" w:bidi="ar"/>
        </w:rPr>
        <w:t>1.湖南省普通高校招生考试违规考生告知书（存根联）</w:t>
      </w:r>
    </w:p>
    <w:p>
      <w:pPr>
        <w:keepNext w:val="0"/>
        <w:keepLines w:val="0"/>
        <w:widowControl/>
        <w:numPr>
          <w:numId w:val="0"/>
        </w:numPr>
        <w:suppressLineNumbers w:val="0"/>
        <w:jc w:val="left"/>
        <w:rPr>
          <w:rFonts w:hint="eastAsia" w:ascii="华文仿宋" w:hAnsi="华文仿宋" w:eastAsia="华文仿宋" w:cs="华文仿宋"/>
          <w:sz w:val="24"/>
          <w:szCs w:val="24"/>
        </w:rPr>
      </w:pPr>
      <w:r>
        <w:rPr>
          <w:rFonts w:hint="eastAsia" w:ascii="华文仿宋" w:hAnsi="华文仿宋" w:eastAsia="华文仿宋" w:cs="华文仿宋"/>
          <w:kern w:val="0"/>
          <w:sz w:val="24"/>
          <w:szCs w:val="24"/>
          <w:bdr w:val="none" w:color="auto" w:sz="0" w:space="0"/>
          <w:lang w:val="en-US" w:eastAsia="zh-CN" w:bidi="ar"/>
        </w:rPr>
        <w:t>2.湖南省普通高校招生考试违规考生告知书（考生联）</w:t>
      </w:r>
    </w:p>
    <w:p>
      <w:pPr>
        <w:keepNext w:val="0"/>
        <w:keepLines w:val="0"/>
        <w:widowControl/>
        <w:numPr>
          <w:numId w:val="0"/>
        </w:numPr>
        <w:suppressLineNumbers w:val="0"/>
        <w:jc w:val="left"/>
        <w:rPr>
          <w:rFonts w:hint="eastAsia" w:ascii="华文仿宋" w:hAnsi="华文仿宋" w:eastAsia="华文仿宋" w:cs="华文仿宋"/>
          <w:kern w:val="0"/>
          <w:sz w:val="24"/>
          <w:szCs w:val="24"/>
          <w:bdr w:val="none" w:color="auto" w:sz="0" w:space="0"/>
          <w:lang w:val="en-US" w:eastAsia="zh-CN" w:bidi="ar"/>
        </w:rPr>
      </w:pPr>
      <w:r>
        <w:rPr>
          <w:rFonts w:hint="eastAsia" w:ascii="华文仿宋" w:hAnsi="华文仿宋" w:eastAsia="华文仿宋" w:cs="华文仿宋"/>
          <w:kern w:val="0"/>
          <w:sz w:val="24"/>
          <w:szCs w:val="24"/>
          <w:bdr w:val="none" w:color="auto" w:sz="0" w:space="0"/>
          <w:lang w:val="en-US" w:eastAsia="zh-CN" w:bidi="ar"/>
        </w:rPr>
        <w:t>3.湖南省普通高校招生考试违规处理决定书</w:t>
      </w:r>
    </w:p>
    <w:p>
      <w:pPr>
        <w:keepNext w:val="0"/>
        <w:keepLines w:val="0"/>
        <w:widowControl/>
        <w:numPr>
          <w:numId w:val="0"/>
        </w:numPr>
        <w:suppressLineNumbers w:val="0"/>
        <w:jc w:val="left"/>
        <w:rPr>
          <w:rFonts w:ascii="Tahoma" w:hAnsi="Tahoma" w:eastAsia="Tahoma" w:cs="Tahoma"/>
          <w:i w:val="0"/>
          <w:caps w:val="0"/>
          <w:color w:val="000000"/>
          <w:spacing w:val="0"/>
          <w:sz w:val="16"/>
          <w:szCs w:val="16"/>
          <w:bdr w:val="none" w:color="auto" w:sz="0" w:space="0"/>
        </w:rPr>
      </w:pPr>
      <w:r>
        <w:rPr>
          <w:rFonts w:ascii="Tahoma" w:hAnsi="Tahoma" w:eastAsia="Tahoma" w:cs="Tahoma"/>
          <w:i w:val="0"/>
          <w:caps w:val="0"/>
          <w:color w:val="000000"/>
          <w:spacing w:val="0"/>
          <w:sz w:val="16"/>
          <w:szCs w:val="16"/>
          <w:bdr w:val="none" w:color="auto" w:sz="0" w:space="0"/>
        </w:rPr>
        <w:drawing>
          <wp:inline distT="0" distB="0" distL="114300" distR="114300">
            <wp:extent cx="4657725" cy="7400925"/>
            <wp:effectExtent l="0" t="0" r="3175" b="317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4"/>
                    <a:stretch>
                      <a:fillRect/>
                    </a:stretch>
                  </pic:blipFill>
                  <pic:spPr>
                    <a:xfrm>
                      <a:off x="0" y="0"/>
                      <a:ext cx="4657725" cy="7400925"/>
                    </a:xfrm>
                    <a:prstGeom prst="rect">
                      <a:avLst/>
                    </a:prstGeom>
                    <a:noFill/>
                    <a:ln w="9525">
                      <a:noFill/>
                    </a:ln>
                  </pic:spPr>
                </pic:pic>
              </a:graphicData>
            </a:graphic>
          </wp:inline>
        </w:drawing>
      </w:r>
    </w:p>
    <w:p>
      <w:pPr>
        <w:keepNext w:val="0"/>
        <w:keepLines w:val="0"/>
        <w:widowControl/>
        <w:numPr>
          <w:numId w:val="0"/>
        </w:numPr>
        <w:suppressLineNumbers w:val="0"/>
        <w:jc w:val="left"/>
        <w:rPr>
          <w:rFonts w:ascii="Tahoma" w:hAnsi="Tahoma" w:eastAsia="Tahoma" w:cs="Tahoma"/>
          <w:i w:val="0"/>
          <w:caps w:val="0"/>
          <w:color w:val="000000"/>
          <w:spacing w:val="0"/>
          <w:sz w:val="16"/>
          <w:szCs w:val="16"/>
          <w:bdr w:val="none" w:color="auto" w:sz="0" w:space="0"/>
        </w:rPr>
      </w:pPr>
      <w:r>
        <w:rPr>
          <w:rFonts w:ascii="Tahoma" w:hAnsi="Tahoma" w:eastAsia="Tahoma" w:cs="Tahoma"/>
          <w:i w:val="0"/>
          <w:caps w:val="0"/>
          <w:color w:val="000000"/>
          <w:spacing w:val="0"/>
          <w:sz w:val="16"/>
          <w:szCs w:val="16"/>
          <w:bdr w:val="none" w:color="auto" w:sz="0" w:space="0"/>
        </w:rPr>
        <w:drawing>
          <wp:inline distT="0" distB="0" distL="114300" distR="114300">
            <wp:extent cx="4591050" cy="7248525"/>
            <wp:effectExtent l="0" t="0" r="6350" b="317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5"/>
                    <a:stretch>
                      <a:fillRect/>
                    </a:stretch>
                  </pic:blipFill>
                  <pic:spPr>
                    <a:xfrm>
                      <a:off x="0" y="0"/>
                      <a:ext cx="4591050" cy="7248525"/>
                    </a:xfrm>
                    <a:prstGeom prst="rect">
                      <a:avLst/>
                    </a:prstGeom>
                    <a:noFill/>
                    <a:ln w="9525">
                      <a:noFill/>
                    </a:ln>
                  </pic:spPr>
                </pic:pic>
              </a:graphicData>
            </a:graphic>
          </wp:inline>
        </w:drawing>
      </w:r>
    </w:p>
    <w:p>
      <w:pPr>
        <w:keepNext w:val="0"/>
        <w:keepLines w:val="0"/>
        <w:widowControl/>
        <w:numPr>
          <w:numId w:val="0"/>
        </w:numPr>
        <w:suppressLineNumbers w:val="0"/>
        <w:jc w:val="left"/>
        <w:rPr>
          <w:rFonts w:ascii="Tahoma" w:hAnsi="Tahoma" w:eastAsia="Tahoma" w:cs="Tahoma"/>
          <w:i w:val="0"/>
          <w:caps w:val="0"/>
          <w:color w:val="000000"/>
          <w:spacing w:val="0"/>
          <w:sz w:val="16"/>
          <w:szCs w:val="16"/>
          <w:bdr w:val="none" w:color="auto" w:sz="0" w:space="0"/>
        </w:rPr>
      </w:pPr>
      <w:r>
        <w:rPr>
          <w:rFonts w:ascii="Tahoma" w:hAnsi="Tahoma" w:eastAsia="Tahoma" w:cs="Tahoma"/>
          <w:i w:val="0"/>
          <w:caps w:val="0"/>
          <w:color w:val="000000"/>
          <w:spacing w:val="0"/>
          <w:sz w:val="16"/>
          <w:szCs w:val="16"/>
          <w:bdr w:val="none" w:color="auto" w:sz="0" w:space="0"/>
        </w:rPr>
        <w:drawing>
          <wp:inline distT="0" distB="0" distL="114300" distR="114300">
            <wp:extent cx="4619625" cy="6886575"/>
            <wp:effectExtent l="0" t="0" r="3175" b="952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6"/>
                    <a:stretch>
                      <a:fillRect/>
                    </a:stretch>
                  </pic:blipFill>
                  <pic:spPr>
                    <a:xfrm>
                      <a:off x="0" y="0"/>
                      <a:ext cx="4619625" cy="6886575"/>
                    </a:xfrm>
                    <a:prstGeom prst="rect">
                      <a:avLst/>
                    </a:prstGeom>
                    <a:noFill/>
                    <a:ln w="9525">
                      <a:noFill/>
                    </a:ln>
                  </pic:spPr>
                </pic:pic>
              </a:graphicData>
            </a:graphic>
          </wp:inline>
        </w:drawing>
      </w:r>
    </w:p>
    <w:p>
      <w:pPr>
        <w:keepNext w:val="0"/>
        <w:keepLines w:val="0"/>
        <w:widowControl/>
        <w:numPr>
          <w:numId w:val="0"/>
        </w:numPr>
        <w:suppressLineNumbers w:val="0"/>
        <w:jc w:val="left"/>
        <w:rPr>
          <w:rFonts w:hint="eastAsia" w:ascii="Tahoma" w:hAnsi="Tahoma" w:eastAsia="Tahoma" w:cs="Tahoma"/>
          <w:i w:val="0"/>
          <w:caps w:val="0"/>
          <w:color w:val="000000"/>
          <w:spacing w:val="0"/>
          <w:sz w:val="16"/>
          <w:szCs w:val="16"/>
          <w:bdr w:val="none" w:color="auto" w:sz="0" w:space="0"/>
          <w:lang w:val="en-US" w:eastAsia="zh-CN"/>
        </w:rPr>
      </w:pPr>
      <w:bookmarkStart w:id="0" w:name="_GoBack"/>
      <w:bookmarkEnd w:id="0"/>
      <w:r>
        <w:rPr>
          <w:rFonts w:ascii="Tahoma" w:hAnsi="Tahoma" w:eastAsia="Tahoma" w:cs="Tahoma"/>
          <w:i w:val="0"/>
          <w:caps w:val="0"/>
          <w:color w:val="000000"/>
          <w:spacing w:val="0"/>
          <w:sz w:val="16"/>
          <w:szCs w:val="16"/>
          <w:bdr w:val="none" w:color="auto" w:sz="0" w:space="0"/>
        </w:rPr>
        <w:drawing>
          <wp:inline distT="0" distB="0" distL="114300" distR="114300">
            <wp:extent cx="4695825" cy="7134225"/>
            <wp:effectExtent l="0" t="0" r="3175" b="3175"/>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7"/>
                    <a:stretch>
                      <a:fillRect/>
                    </a:stretch>
                  </pic:blipFill>
                  <pic:spPr>
                    <a:xfrm>
                      <a:off x="0" y="0"/>
                      <a:ext cx="4695825" cy="713422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E6BEF2"/>
    <w:multiLevelType w:val="singleLevel"/>
    <w:tmpl w:val="C0E6BE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35B01"/>
    <w:rsid w:val="41A35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2021-11-02T02:51:00Z</dcterms:created>
  <dc:creator>柯洛伊</dc:creator>
  <cp:lastModifiedBy>柯洛伊</cp:lastModifiedBy>
  <dcterms:modified xsi:type="dcterms:W3CDTF">2021-11-02T02:56:29Z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