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新就业或自主创业高校毕业生住房保障申请表</w:t>
      </w:r>
    </w:p>
    <w:tbl>
      <w:tblPr>
        <w:tblStyle w:val="6"/>
        <w:tblW w:w="15833" w:type="dxa"/>
        <w:tblInd w:w="-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84"/>
        <w:gridCol w:w="1033"/>
        <w:gridCol w:w="1033"/>
        <w:gridCol w:w="700"/>
        <w:gridCol w:w="1034"/>
        <w:gridCol w:w="966"/>
        <w:gridCol w:w="950"/>
        <w:gridCol w:w="1000"/>
        <w:gridCol w:w="1050"/>
        <w:gridCol w:w="1000"/>
        <w:gridCol w:w="984"/>
        <w:gridCol w:w="1033"/>
        <w:gridCol w:w="1000"/>
        <w:gridCol w:w="1367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单位注册   地址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劳动合同       起止期限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社保缴费       起止期限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住房补贴发放        银行名称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住房补贴发放   银行借记卡号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bCs/>
          <w:sz w:val="32"/>
          <w:szCs w:val="32"/>
        </w:rPr>
        <w:sectPr>
          <w:pgSz w:w="16838" w:h="11906" w:orient="landscape"/>
          <w:pgMar w:top="567" w:right="1134" w:bottom="567" w:left="1134" w:header="851" w:footer="992" w:gutter="0"/>
          <w:cols w:space="0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宋体" w:cs="Times New Roman"/>
          <w:b/>
          <w:sz w:val="36"/>
          <w:szCs w:val="36"/>
        </w:rPr>
        <w:t>区市县（先导区）住建部门（住房保障部门）咨询电话</w:t>
      </w:r>
      <w:r>
        <w:rPr>
          <w:rFonts w:hint="eastAsia" w:ascii="Times New Roman" w:hAnsi="宋体" w:cs="Times New Roman"/>
          <w:b/>
          <w:sz w:val="36"/>
          <w:szCs w:val="36"/>
        </w:rPr>
        <w:t>、住房补贴发放银行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19"/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 w:cs="Times New Roman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咨询电话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住房补贴发放银行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中山区住房和城市建设局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62885316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招商银行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西岗区住房和城市建设局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83688010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招商银行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沙河口区住房和城市建设局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39878900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招商银行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甘井子区住房和城市建设局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86108013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中国工商银行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高新区城市建设事务服务中心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84796101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招商银行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金普新区住房保障中心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87693467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金普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本级）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87671779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保税普湾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中国工商银行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普兰店区住房保障服务中心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83117986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中国工商银行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全国</w:t>
            </w: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旅顺口区住房和城市建设局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86612765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中国建设银行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瓦房店市住房事务中心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85633525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大连银行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庄河市住房和城乡建设局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89709312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中国建设银行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长海县住房和城乡建设局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39370128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中国农业银行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5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长兴岛经济技术开发区住房和城乡建设局</w:t>
            </w:r>
          </w:p>
        </w:tc>
        <w:tc>
          <w:tcPr>
            <w:tcW w:w="3119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85281932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中国银行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8"/>
                <w:szCs w:val="28"/>
              </w:rPr>
              <w:t>一类卡，全国开卡</w:t>
            </w: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注：申请人应提供单位注册地所在区市县（先导区）住建部门住房补贴发放银行的银行卡号。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宋体" w:cs="Times New Roman"/>
          <w:b/>
          <w:sz w:val="36"/>
          <w:szCs w:val="36"/>
        </w:rPr>
        <w:t>区市县（先导区）人力资源社会保障部门电子邮箱、咨询电话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  <w:gridCol w:w="429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电子邮箱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宋体" w:cs="Times New Roman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中山区人力资源和社会保障局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"mailto:zfbt_zsq@163.com" \o "mailto:zfbt_zsq@163.com"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zfbt_zsq@163.com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82565643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西岗区人力资源和社会保障局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"mailto:zfbt_xgq@163.com"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zfbt_xgq@163.com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39661817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沙河口区高校毕业生就业服务中心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"mailto:zfbt_shk@163.com"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zfbt_shk@163.com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84627709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甘井子区人力资源和社会保障局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"mailto:zfbt_gjz@163.com"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zfbt_gjz@163.com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88152608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高新区创新创业创投（人才）服务中心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"mailto:zfbt_gxyq@163.com"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zfbt_gxyq@163.com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88149752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金普新区就业和社会保险事业服务中心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"mailto:zfbt_jp@163.com"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zfbt_jp@163.com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65891587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普兰店区就业管理服务中心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"mailto:zfbt_pld@163.com"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zfbt_pld@163.com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83181566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旅顺口区人才服务中心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"mailto:zfbt_lsk@163.com"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zfbt_lsk@163.com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81616330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瓦房店市人力资源和社会保障局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"mailto:zfbt_wfd@163.com"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zfbt_wfd@163.com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85615983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庄河市人力资源和社会保障事务服务中心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"mailto:zfbt_zhs@163.com"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zfbt_zhs@163.com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89725628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长海县公共服务中心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"mailto:zfbt_chx@163.com"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zfbt_chx@163.com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39377008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宋体" w:cs="Times New Roman"/>
                <w:sz w:val="32"/>
                <w:szCs w:val="32"/>
              </w:rPr>
              <w:t>长兴岛党群工作部</w:t>
            </w:r>
          </w:p>
        </w:tc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"mailto:zfbt_xcxd@163.com"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t>zfbt_xcxd@163.com</w:t>
            </w:r>
            <w:r>
              <w:rPr>
                <w:rStyle w:val="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85761725</w:t>
            </w:r>
          </w:p>
        </w:tc>
      </w:tr>
    </w:tbl>
    <w:p>
      <w:pPr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注：申请人应将申请邮件发送到单位注册地所在区市县（先导区）人力资源社会保障部门电子邮箱。</w:t>
      </w:r>
    </w:p>
    <w:p>
      <w:pPr>
        <w:rPr>
          <w:rFonts w:ascii="宋体" w:hAnsi="宋体"/>
          <w:b/>
          <w:bCs/>
          <w:sz w:val="28"/>
          <w:szCs w:val="28"/>
        </w:rPr>
      </w:pPr>
    </w:p>
    <w:sectPr>
      <w:pgSz w:w="16838" w:h="11906" w:orient="landscape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17"/>
    <w:rsid w:val="00093E1E"/>
    <w:rsid w:val="00733917"/>
    <w:rsid w:val="008574FA"/>
    <w:rsid w:val="00A7288A"/>
    <w:rsid w:val="00FE3325"/>
    <w:rsid w:val="79F51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272</Words>
  <Characters>1554</Characters>
  <Lines>12</Lines>
  <Paragraphs>3</Paragraphs>
  <TotalTime>4</TotalTime>
  <ScaleCrop>false</ScaleCrop>
  <LinksUpToDate>false</LinksUpToDate>
  <CharactersWithSpaces>1823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2021-11-24T07:07:00Z</dcterms:created>
  <dc:creator>那洋</dc:creator>
  <cp:lastModifiedBy>Mr.G</cp:lastModifiedBy>
  <cp:lastPrinted>2021-11-19T09:01:00Z</cp:lastPrinted>
  <dcterms:modified xsi:type="dcterms:W3CDTF">2021-11-25T01:36:03Z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6C304D0DB709497CBC21F914B21B6931</vt:lpwstr>
  </property>
</Properties>
</file>