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 w:hAnsi="ti" w:eastAsia="黑体"/>
          <w:sz w:val="32"/>
          <w:szCs w:val="32"/>
        </w:rPr>
      </w:pPr>
      <w:r>
        <w:rPr>
          <w:rFonts w:hint="eastAsia" w:ascii="ti" w:hAnsi="ti" w:eastAsia="黑体"/>
          <w:sz w:val="32"/>
          <w:szCs w:val="32"/>
        </w:rPr>
        <w:t>附件3</w:t>
      </w:r>
    </w:p>
    <w:p>
      <w:pPr>
        <w:spacing w:line="320" w:lineRule="exact"/>
        <w:rPr>
          <w:rFonts w:hint="eastAsia" w:ascii="ti" w:hAnsi="ti" w:eastAsia="黑体"/>
          <w:sz w:val="32"/>
          <w:szCs w:val="32"/>
        </w:rPr>
      </w:pPr>
    </w:p>
    <w:p>
      <w:pPr>
        <w:ind w:firstLine="880" w:firstLineChars="200"/>
        <w:jc w:val="center"/>
        <w:rPr>
          <w:rFonts w:hint="eastAsia" w:ascii="ti" w:hAnsi="ti" w:eastAsia="方正小标宋_GBK"/>
          <w:bCs/>
          <w:sz w:val="52"/>
          <w:szCs w:val="44"/>
        </w:rPr>
      </w:pPr>
      <w:bookmarkStart w:id="6" w:name="_GoBack"/>
      <w:r>
        <w:rPr>
          <w:rFonts w:hint="eastAsia" w:ascii="ti" w:hAnsi="ti" w:eastAsia="方正小标宋_GBK"/>
          <w:bCs/>
          <w:sz w:val="44"/>
          <w:szCs w:val="36"/>
        </w:rPr>
        <w:t>2022年广州市高中阶段政策性照顾学生分类一览表</w:t>
      </w:r>
      <w:bookmarkEnd w:id="6"/>
    </w:p>
    <w:tbl>
      <w:tblPr>
        <w:tblStyle w:val="4"/>
        <w:tblW w:w="14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6966"/>
        <w:gridCol w:w="1016"/>
        <w:gridCol w:w="6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598" w:type="dxa"/>
            <w:vMerge w:val="restart"/>
            <w:tcBorders>
              <w:top w:val="single" w:color="auto" w:sz="4" w:space="0"/>
              <w:left w:val="single" w:color="auto" w:sz="4" w:space="0"/>
              <w:right w:val="single" w:color="auto" w:sz="4" w:space="0"/>
            </w:tcBorders>
            <w:vAlign w:val="center"/>
          </w:tcPr>
          <w:p>
            <w:pPr>
              <w:ind w:right="-107" w:rightChars="-51"/>
              <w:jc w:val="center"/>
              <w:rPr>
                <w:rFonts w:hint="eastAsia" w:ascii="ti" w:hAnsi="ti" w:eastAsia="黑体"/>
                <w:bCs/>
                <w:sz w:val="20"/>
                <w:szCs w:val="21"/>
              </w:rPr>
            </w:pPr>
            <w:r>
              <w:rPr>
                <w:rFonts w:hint="eastAsia" w:ascii="ti" w:hAnsi="ti" w:eastAsia="黑体"/>
                <w:bCs/>
                <w:sz w:val="20"/>
                <w:szCs w:val="21"/>
              </w:rPr>
              <w:t>类别</w:t>
            </w:r>
          </w:p>
        </w:tc>
        <w:tc>
          <w:tcPr>
            <w:tcW w:w="6966" w:type="dxa"/>
            <w:vMerge w:val="restart"/>
            <w:tcBorders>
              <w:top w:val="single" w:color="auto" w:sz="4" w:space="0"/>
              <w:left w:val="single" w:color="auto" w:sz="4" w:space="0"/>
              <w:right w:val="single" w:color="auto" w:sz="4" w:space="0"/>
            </w:tcBorders>
            <w:vAlign w:val="center"/>
          </w:tcPr>
          <w:p>
            <w:pPr>
              <w:jc w:val="center"/>
              <w:rPr>
                <w:rFonts w:hint="eastAsia" w:ascii="ti" w:hAnsi="ti" w:eastAsia="黑体"/>
                <w:bCs/>
                <w:sz w:val="20"/>
                <w:szCs w:val="21"/>
              </w:rPr>
            </w:pPr>
            <w:r>
              <w:rPr>
                <w:rFonts w:hint="eastAsia" w:ascii="ti" w:hAnsi="ti" w:eastAsia="黑体"/>
                <w:bCs/>
                <w:sz w:val="20"/>
                <w:szCs w:val="21"/>
              </w:rPr>
              <w:t>考生类型</w:t>
            </w:r>
          </w:p>
        </w:tc>
        <w:tc>
          <w:tcPr>
            <w:tcW w:w="71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i" w:hAnsi="ti" w:eastAsia="黑体"/>
                <w:bCs/>
                <w:sz w:val="20"/>
                <w:szCs w:val="21"/>
              </w:rPr>
            </w:pPr>
            <w:r>
              <w:rPr>
                <w:rFonts w:hint="eastAsia" w:ascii="ti" w:hAnsi="ti" w:eastAsia="黑体"/>
                <w:bCs/>
                <w:sz w:val="20"/>
                <w:szCs w:val="21"/>
              </w:rPr>
              <w:t>材料指引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continue"/>
            <w:tcBorders>
              <w:left w:val="single" w:color="auto" w:sz="4" w:space="0"/>
              <w:right w:val="single" w:color="auto" w:sz="4" w:space="0"/>
            </w:tcBorders>
            <w:vAlign w:val="center"/>
          </w:tcPr>
          <w:p>
            <w:pPr>
              <w:jc w:val="center"/>
              <w:rPr>
                <w:rFonts w:hint="eastAsia" w:ascii="ti" w:hAnsi="ti" w:eastAsia="黑体"/>
                <w:sz w:val="20"/>
                <w:szCs w:val="21"/>
              </w:rPr>
            </w:pPr>
          </w:p>
        </w:tc>
        <w:tc>
          <w:tcPr>
            <w:tcW w:w="6966" w:type="dxa"/>
            <w:vMerge w:val="continue"/>
            <w:tcBorders>
              <w:left w:val="single" w:color="auto" w:sz="4" w:space="0"/>
              <w:right w:val="single" w:color="auto" w:sz="4" w:space="0"/>
            </w:tcBorders>
            <w:vAlign w:val="center"/>
          </w:tcPr>
          <w:p>
            <w:pPr>
              <w:rPr>
                <w:rFonts w:hint="eastAsia" w:ascii="ti" w:hAnsi="ti" w:eastAsia="黑体"/>
                <w:sz w:val="2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 w:hAnsi="ti" w:eastAsia="黑体"/>
                <w:sz w:val="20"/>
                <w:szCs w:val="22"/>
                <w:shd w:val="clear" w:color="auto" w:fill="FFFFFF"/>
              </w:rPr>
            </w:pPr>
            <w:r>
              <w:rPr>
                <w:rFonts w:hint="eastAsia" w:ascii="ti" w:hAnsi="ti" w:eastAsia="黑体"/>
                <w:sz w:val="20"/>
                <w:szCs w:val="22"/>
                <w:shd w:val="clear" w:color="auto" w:fill="FFFFFF"/>
              </w:rPr>
              <w:t>考生</w:t>
            </w:r>
          </w:p>
        </w:tc>
        <w:tc>
          <w:tcPr>
            <w:tcW w:w="6166" w:type="dxa"/>
            <w:tcBorders>
              <w:top w:val="single" w:color="auto" w:sz="4" w:space="0"/>
              <w:left w:val="single" w:color="auto" w:sz="4" w:space="0"/>
              <w:right w:val="single" w:color="auto" w:sz="4" w:space="0"/>
            </w:tcBorders>
            <w:vAlign w:val="center"/>
          </w:tcPr>
          <w:p>
            <w:pPr>
              <w:jc w:val="center"/>
              <w:rPr>
                <w:rFonts w:hint="eastAsia" w:ascii="ti" w:hAnsi="ti" w:eastAsia="黑体"/>
                <w:sz w:val="20"/>
                <w:szCs w:val="21"/>
              </w:rPr>
            </w:pPr>
            <w:r>
              <w:rPr>
                <w:rFonts w:hint="eastAsia" w:ascii="ti" w:hAnsi="ti" w:eastAsia="黑体"/>
                <w:sz w:val="20"/>
                <w:szCs w:val="21"/>
              </w:rPr>
              <w:t>父母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restart"/>
            <w:tcBorders>
              <w:top w:val="single" w:color="auto" w:sz="4" w:space="0"/>
              <w:left w:val="single" w:color="auto" w:sz="4" w:space="0"/>
              <w:right w:val="single" w:color="auto" w:sz="4" w:space="0"/>
            </w:tcBorders>
            <w:vAlign w:val="center"/>
          </w:tcPr>
          <w:p>
            <w:pPr>
              <w:jc w:val="center"/>
              <w:rPr>
                <w:rFonts w:hint="eastAsia" w:ascii="ti" w:hAnsi="ti"/>
                <w:sz w:val="20"/>
                <w:szCs w:val="21"/>
              </w:rPr>
            </w:pPr>
            <w:r>
              <w:rPr>
                <w:rFonts w:hint="eastAsia" w:ascii="ti" w:hAnsi="ti"/>
                <w:sz w:val="20"/>
                <w:szCs w:val="21"/>
              </w:rPr>
              <w:t>优抚群体类</w:t>
            </w:r>
          </w:p>
        </w:tc>
        <w:tc>
          <w:tcPr>
            <w:tcW w:w="6966" w:type="dxa"/>
            <w:tcBorders>
              <w:top w:val="single" w:color="auto" w:sz="4" w:space="0"/>
              <w:left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军人烈士、因公牺牲军人、病故军人及现役军人的适龄子女</w:t>
            </w: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i" w:hAnsi="ti"/>
                <w:sz w:val="20"/>
                <w:szCs w:val="22"/>
                <w:shd w:val="clear" w:color="auto" w:fill="FFFFFF"/>
              </w:rPr>
            </w:pPr>
            <w:r>
              <w:rPr>
                <w:rFonts w:hint="eastAsia" w:ascii="ti" w:hAnsi="ti"/>
                <w:sz w:val="20"/>
                <w:szCs w:val="22"/>
                <w:shd w:val="clear" w:color="auto" w:fill="FFFFFF"/>
              </w:rPr>
              <w:t>与父母（或一方）同户的户口簿</w:t>
            </w:r>
            <w:bookmarkStart w:id="0" w:name="OLE_LINK5"/>
            <w:bookmarkStart w:id="1" w:name="OLE_LINK6"/>
            <w:r>
              <w:rPr>
                <w:rFonts w:hint="eastAsia" w:ascii="ti" w:hAnsi="ti"/>
                <w:sz w:val="20"/>
                <w:szCs w:val="22"/>
                <w:shd w:val="clear" w:color="auto" w:fill="FFFFFF"/>
              </w:rPr>
              <w:t>（须以父母或考生为户主）</w:t>
            </w:r>
            <w:bookmarkEnd w:id="0"/>
            <w:bookmarkEnd w:id="1"/>
            <w:r>
              <w:rPr>
                <w:rFonts w:hint="eastAsia" w:ascii="ti" w:hAnsi="ti"/>
                <w:sz w:val="20"/>
                <w:szCs w:val="22"/>
                <w:shd w:val="clear" w:color="auto" w:fill="FFFFFF"/>
              </w:rPr>
              <w:t>或《出生医学证明》或监护人变更的法院判决书等</w:t>
            </w:r>
          </w:p>
          <w:p>
            <w:pPr>
              <w:jc w:val="center"/>
              <w:rPr>
                <w:rFonts w:hint="eastAsia" w:ascii="ti" w:hAnsi="ti"/>
                <w:sz w:val="20"/>
                <w:szCs w:val="21"/>
              </w:rPr>
            </w:pPr>
          </w:p>
        </w:tc>
        <w:tc>
          <w:tcPr>
            <w:tcW w:w="6166" w:type="dxa"/>
            <w:tcBorders>
              <w:top w:val="single" w:color="auto" w:sz="4" w:space="0"/>
              <w:left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《烈士证明书》；</w:t>
            </w:r>
            <w:bookmarkStart w:id="2" w:name="OLE_LINK8"/>
            <w:bookmarkStart w:id="3" w:name="OLE_LINK7"/>
            <w:r>
              <w:rPr>
                <w:rFonts w:ascii="ti" w:hAnsi="ti"/>
                <w:sz w:val="20"/>
                <w:szCs w:val="21"/>
              </w:rPr>
              <w:t>《革命军人因公牺牲证明书》</w:t>
            </w:r>
            <w:r>
              <w:rPr>
                <w:rFonts w:hint="eastAsia" w:ascii="ti" w:hAnsi="ti"/>
                <w:sz w:val="20"/>
                <w:szCs w:val="21"/>
              </w:rPr>
              <w:t>；</w:t>
            </w:r>
            <w:r>
              <w:rPr>
                <w:rFonts w:ascii="ti" w:hAnsi="ti"/>
                <w:sz w:val="20"/>
                <w:szCs w:val="21"/>
              </w:rPr>
              <w:t>《革命</w:t>
            </w:r>
            <w:r>
              <w:rPr>
                <w:rFonts w:hint="eastAsia" w:ascii="ti" w:hAnsi="ti"/>
                <w:sz w:val="20"/>
                <w:szCs w:val="21"/>
              </w:rPr>
              <w:t>军人</w:t>
            </w:r>
            <w:r>
              <w:rPr>
                <w:rFonts w:ascii="ti" w:hAnsi="ti"/>
                <w:sz w:val="20"/>
                <w:szCs w:val="21"/>
              </w:rPr>
              <w:t>病故证明书》</w:t>
            </w:r>
            <w:r>
              <w:rPr>
                <w:rFonts w:hint="eastAsia" w:ascii="ti" w:hAnsi="ti"/>
                <w:sz w:val="20"/>
                <w:szCs w:val="21"/>
              </w:rPr>
              <w:t>；现役军人身份证件（如军官证、士兵证等）</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continue"/>
            <w:tcBorders>
              <w:top w:val="single" w:color="auto" w:sz="4" w:space="0"/>
              <w:left w:val="single" w:color="auto" w:sz="4" w:space="0"/>
              <w:right w:val="single" w:color="auto" w:sz="4" w:space="0"/>
            </w:tcBorders>
            <w:vAlign w:val="center"/>
          </w:tcPr>
          <w:p>
            <w:pPr>
              <w:jc w:val="center"/>
              <w:rPr>
                <w:rFonts w:hint="eastAsia" w:ascii="ti" w:hAnsi="ti"/>
                <w:sz w:val="20"/>
                <w:szCs w:val="21"/>
              </w:rPr>
            </w:pPr>
          </w:p>
        </w:tc>
        <w:tc>
          <w:tcPr>
            <w:tcW w:w="6966" w:type="dxa"/>
            <w:tcBorders>
              <w:top w:val="single" w:color="auto" w:sz="4" w:space="0"/>
              <w:left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在穗消防部门工作的消防救援人员的适龄子女</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i" w:hAnsi="ti"/>
                <w:sz w:val="20"/>
                <w:szCs w:val="22"/>
                <w:shd w:val="clear" w:color="auto" w:fill="FFFFFF"/>
              </w:rPr>
            </w:pPr>
          </w:p>
        </w:tc>
        <w:tc>
          <w:tcPr>
            <w:tcW w:w="6166" w:type="dxa"/>
            <w:tcBorders>
              <w:top w:val="single" w:color="auto" w:sz="4" w:space="0"/>
              <w:left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有效工作证件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continue"/>
            <w:tcBorders>
              <w:left w:val="single" w:color="auto" w:sz="4" w:space="0"/>
              <w:bottom w:val="single" w:color="auto" w:sz="4" w:space="0"/>
              <w:right w:val="single" w:color="auto" w:sz="4" w:space="0"/>
            </w:tcBorders>
            <w:vAlign w:val="center"/>
          </w:tcPr>
          <w:p>
            <w:pPr>
              <w:jc w:val="center"/>
              <w:rPr>
                <w:rFonts w:hint="eastAsia" w:ascii="ti" w:hAnsi="ti"/>
                <w:sz w:val="20"/>
                <w:szCs w:val="21"/>
              </w:rPr>
            </w:pP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父母均长期患重病或失去监护子女能力的残疾人委托本市监护人照顾的适龄子女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z w:val="20"/>
                <w:szCs w:val="21"/>
              </w:rPr>
            </w:pPr>
            <w:r>
              <w:rPr>
                <w:rFonts w:hint="eastAsia" w:ascii="ti" w:hAnsi="ti"/>
                <w:color w:val="000000"/>
                <w:sz w:val="20"/>
                <w:szCs w:val="22"/>
                <w:shd w:val="clear" w:color="auto" w:fill="FFFFFF"/>
              </w:rPr>
              <w:t>父母双方的区级以上医院危重病病历或残疾证等（由相关部门审核认定丧失监护子女能力）、委托本市户籍居民照顾的公证书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restart"/>
            <w:tcBorders>
              <w:top w:val="single" w:color="auto" w:sz="4" w:space="0"/>
              <w:left w:val="single" w:color="auto" w:sz="4" w:space="0"/>
              <w:right w:val="single" w:color="auto" w:sz="4" w:space="0"/>
            </w:tcBorders>
            <w:vAlign w:val="center"/>
          </w:tcPr>
          <w:p>
            <w:pPr>
              <w:jc w:val="center"/>
              <w:rPr>
                <w:rFonts w:hint="eastAsia" w:ascii="ti" w:hAnsi="ti"/>
                <w:sz w:val="20"/>
                <w:szCs w:val="21"/>
              </w:rPr>
            </w:pPr>
            <w:r>
              <w:rPr>
                <w:rFonts w:hint="eastAsia" w:ascii="ti" w:hAnsi="ti"/>
                <w:sz w:val="20"/>
                <w:szCs w:val="21"/>
              </w:rPr>
              <w:t>特殊行业类</w:t>
            </w: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父母均为从事地质勘探等长期野外工作，委托本市监护人照顾的适龄子女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z w:val="20"/>
                <w:szCs w:val="21"/>
              </w:rPr>
            </w:pPr>
            <w:r>
              <w:rPr>
                <w:rFonts w:hint="eastAsia" w:ascii="ti" w:hAnsi="ti"/>
                <w:color w:val="000000"/>
                <w:sz w:val="20"/>
                <w:szCs w:val="21"/>
              </w:rPr>
              <w:t>父母双方的有效工作证件、委托本市户籍居民照顾的公证书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continue"/>
            <w:tcBorders>
              <w:left w:val="single" w:color="auto" w:sz="4" w:space="0"/>
              <w:right w:val="single" w:color="auto" w:sz="4" w:space="0"/>
            </w:tcBorders>
            <w:vAlign w:val="center"/>
          </w:tcPr>
          <w:p>
            <w:pPr>
              <w:jc w:val="center"/>
              <w:rPr>
                <w:rFonts w:hint="eastAsia" w:ascii="ti" w:hAnsi="ti"/>
                <w:sz w:val="20"/>
                <w:szCs w:val="21"/>
              </w:rPr>
            </w:pP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pacing w:val="-20"/>
                <w:sz w:val="20"/>
                <w:szCs w:val="21"/>
              </w:rPr>
            </w:pPr>
            <w:r>
              <w:rPr>
                <w:rFonts w:hint="eastAsia" w:ascii="ti" w:hAnsi="ti"/>
                <w:sz w:val="20"/>
                <w:szCs w:val="21"/>
              </w:rPr>
              <w:t>殡葬工人的适龄子女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有效劳动合同、在广州市办理且在有效期内的广东省居住证（由市来穗人员服务管理局共享信息进行审核）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continue"/>
            <w:tcBorders>
              <w:left w:val="single" w:color="auto" w:sz="4" w:space="0"/>
              <w:right w:val="single" w:color="auto" w:sz="4" w:space="0"/>
            </w:tcBorders>
            <w:vAlign w:val="center"/>
          </w:tcPr>
          <w:p>
            <w:pPr>
              <w:jc w:val="center"/>
              <w:rPr>
                <w:rFonts w:hint="eastAsia" w:ascii="ti" w:hAnsi="ti"/>
                <w:sz w:val="20"/>
                <w:szCs w:val="21"/>
              </w:rPr>
            </w:pP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从事承担政府环卫作业工作服务连续两年以上的环卫临时工适龄子女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z w:val="20"/>
                <w:szCs w:val="21"/>
              </w:rPr>
            </w:pPr>
            <w:r>
              <w:rPr>
                <w:rFonts w:hint="eastAsia" w:ascii="ti" w:hAnsi="ti"/>
                <w:spacing w:val="-12"/>
                <w:sz w:val="20"/>
                <w:szCs w:val="21"/>
              </w:rPr>
              <w:t>有效劳动合同、连续两年以上在穗缴纳社保（由社保部门共享信息进行审核）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continue"/>
            <w:tcBorders>
              <w:left w:val="single" w:color="auto" w:sz="4" w:space="0"/>
              <w:right w:val="single" w:color="auto" w:sz="4" w:space="0"/>
            </w:tcBorders>
            <w:vAlign w:val="center"/>
          </w:tcPr>
          <w:p>
            <w:pPr>
              <w:jc w:val="center"/>
              <w:rPr>
                <w:rFonts w:hint="eastAsia" w:ascii="ti" w:hAnsi="ti"/>
                <w:sz w:val="20"/>
                <w:szCs w:val="21"/>
              </w:rPr>
            </w:pP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进藏干部职工子女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pacing w:val="-12"/>
                <w:sz w:val="20"/>
                <w:szCs w:val="21"/>
              </w:rPr>
            </w:pPr>
            <w:r>
              <w:rPr>
                <w:rFonts w:hint="eastAsia" w:ascii="ti" w:hAnsi="ti"/>
                <w:spacing w:val="-12"/>
                <w:sz w:val="20"/>
                <w:szCs w:val="21"/>
              </w:rPr>
              <w:t>有效工作证件、在穗房产证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continue"/>
            <w:tcBorders>
              <w:left w:val="single" w:color="auto" w:sz="4" w:space="0"/>
              <w:bottom w:val="single" w:color="auto" w:sz="4" w:space="0"/>
              <w:right w:val="single" w:color="auto" w:sz="4" w:space="0"/>
            </w:tcBorders>
            <w:vAlign w:val="center"/>
          </w:tcPr>
          <w:p>
            <w:pPr>
              <w:jc w:val="center"/>
              <w:rPr>
                <w:rFonts w:hint="eastAsia" w:ascii="ti" w:hAnsi="ti"/>
                <w:sz w:val="20"/>
                <w:szCs w:val="21"/>
              </w:rPr>
            </w:pP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抗击新冠肺炎疫情一线医疗卫生工作人员子女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pacing w:val="-12"/>
                <w:sz w:val="20"/>
                <w:szCs w:val="21"/>
              </w:rPr>
            </w:pPr>
            <w:r>
              <w:rPr>
                <w:rFonts w:hint="eastAsia" w:ascii="ti" w:hAnsi="ti"/>
                <w:spacing w:val="-12"/>
                <w:sz w:val="20"/>
                <w:szCs w:val="21"/>
              </w:rPr>
              <w:t>有效工作证件等相应材料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restart"/>
            <w:tcBorders>
              <w:top w:val="single" w:color="auto" w:sz="4" w:space="0"/>
              <w:left w:val="single" w:color="auto" w:sz="4" w:space="0"/>
              <w:right w:val="single" w:color="auto" w:sz="4" w:space="0"/>
            </w:tcBorders>
            <w:vAlign w:val="center"/>
          </w:tcPr>
          <w:p>
            <w:pPr>
              <w:jc w:val="center"/>
              <w:rPr>
                <w:rFonts w:hint="eastAsia" w:ascii="ti" w:hAnsi="ti"/>
                <w:sz w:val="20"/>
                <w:szCs w:val="21"/>
              </w:rPr>
            </w:pPr>
            <w:r>
              <w:rPr>
                <w:rFonts w:hint="eastAsia" w:ascii="ti" w:hAnsi="ti"/>
                <w:sz w:val="20"/>
                <w:szCs w:val="21"/>
              </w:rPr>
              <w:t>人才类</w:t>
            </w:r>
          </w:p>
          <w:p>
            <w:pPr>
              <w:jc w:val="center"/>
              <w:rPr>
                <w:rFonts w:hint="eastAsia" w:ascii="ti" w:hAnsi="ti"/>
                <w:sz w:val="20"/>
                <w:szCs w:val="21"/>
              </w:rPr>
            </w:pPr>
          </w:p>
        </w:tc>
        <w:tc>
          <w:tcPr>
            <w:tcW w:w="6966" w:type="dxa"/>
            <w:tcBorders>
              <w:top w:val="single" w:color="auto" w:sz="4" w:space="0"/>
              <w:left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按规定引进的博士、博士后、外国专家的适龄子女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sz w:val="20"/>
                <w:szCs w:val="21"/>
              </w:rPr>
            </w:pPr>
          </w:p>
        </w:tc>
        <w:tc>
          <w:tcPr>
            <w:tcW w:w="6166" w:type="dxa"/>
            <w:tcBorders>
              <w:top w:val="single" w:color="auto" w:sz="4" w:space="0"/>
              <w:left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博士毕业证书、学位证书以及相关引进材料；外国专家证件等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continue"/>
            <w:tcBorders>
              <w:left w:val="single" w:color="auto" w:sz="4" w:space="0"/>
              <w:right w:val="single" w:color="auto" w:sz="4" w:space="0"/>
            </w:tcBorders>
            <w:vAlign w:val="center"/>
          </w:tcPr>
          <w:p>
            <w:pPr>
              <w:jc w:val="center"/>
              <w:rPr>
                <w:rFonts w:hint="eastAsia" w:ascii="ti" w:hAnsi="ti"/>
                <w:sz w:val="20"/>
                <w:szCs w:val="21"/>
              </w:rPr>
            </w:pPr>
          </w:p>
        </w:tc>
        <w:tc>
          <w:tcPr>
            <w:tcW w:w="6966" w:type="dxa"/>
            <w:tcBorders>
              <w:top w:val="single" w:color="auto" w:sz="4" w:space="0"/>
              <w:left w:val="single" w:color="auto" w:sz="4" w:space="0"/>
              <w:right w:val="single" w:color="auto" w:sz="4" w:space="0"/>
            </w:tcBorders>
            <w:vAlign w:val="center"/>
          </w:tcPr>
          <w:p>
            <w:pPr>
              <w:rPr>
                <w:rFonts w:hint="eastAsia" w:ascii="ti" w:hAnsi="ti"/>
                <w:spacing w:val="-20"/>
                <w:sz w:val="20"/>
                <w:szCs w:val="21"/>
              </w:rPr>
            </w:pPr>
            <w:r>
              <w:rPr>
                <w:rFonts w:hint="eastAsia" w:ascii="ti" w:hAnsi="ti"/>
                <w:sz w:val="20"/>
                <w:szCs w:val="21"/>
              </w:rPr>
              <w:t>来穗工作的留学人员的适龄子女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sz w:val="20"/>
                <w:szCs w:val="21"/>
              </w:rPr>
            </w:pPr>
          </w:p>
        </w:tc>
        <w:tc>
          <w:tcPr>
            <w:tcW w:w="6166" w:type="dxa"/>
            <w:tcBorders>
              <w:top w:val="single" w:color="auto" w:sz="4" w:space="0"/>
              <w:left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《广州市留学人员优惠资格证》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98" w:type="dxa"/>
            <w:vMerge w:val="continue"/>
            <w:tcBorders>
              <w:left w:val="single" w:color="auto" w:sz="4" w:space="0"/>
              <w:right w:val="single" w:color="auto" w:sz="4" w:space="0"/>
            </w:tcBorders>
            <w:vAlign w:val="center"/>
          </w:tcPr>
          <w:p>
            <w:pPr>
              <w:jc w:val="center"/>
              <w:rPr>
                <w:rFonts w:hint="eastAsia" w:ascii="ti" w:hAnsi="ti"/>
                <w:sz w:val="20"/>
                <w:szCs w:val="21"/>
              </w:rPr>
            </w:pP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属引进人才持《广东省居住证》有效期三年及以上人士的子女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pacing w:val="-12"/>
                <w:sz w:val="20"/>
                <w:szCs w:val="21"/>
              </w:rPr>
            </w:pPr>
            <w:r>
              <w:rPr>
                <w:rFonts w:hint="eastAsia" w:ascii="ti" w:hAnsi="ti"/>
                <w:sz w:val="20"/>
                <w:szCs w:val="21"/>
              </w:rPr>
              <w:t>依照《广东省引进人才实行〈广东省居住证〉暂行办法》申领的有效期内《广东省居住证》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continue"/>
            <w:tcBorders>
              <w:left w:val="single" w:color="auto" w:sz="4" w:space="0"/>
              <w:right w:val="single" w:color="auto" w:sz="4" w:space="0"/>
            </w:tcBorders>
            <w:vAlign w:val="center"/>
          </w:tcPr>
          <w:p>
            <w:pPr>
              <w:jc w:val="center"/>
              <w:rPr>
                <w:rFonts w:hint="eastAsia" w:ascii="ti" w:hAnsi="ti"/>
                <w:sz w:val="20"/>
                <w:szCs w:val="21"/>
              </w:rPr>
            </w:pPr>
          </w:p>
        </w:tc>
        <w:tc>
          <w:tcPr>
            <w:tcW w:w="6966" w:type="dxa"/>
            <w:tcBorders>
              <w:top w:val="single" w:color="auto" w:sz="4" w:space="0"/>
              <w:left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高层次人才子女（含海外）</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sz w:val="20"/>
                <w:szCs w:val="21"/>
              </w:rPr>
            </w:pPr>
          </w:p>
        </w:tc>
        <w:tc>
          <w:tcPr>
            <w:tcW w:w="6166" w:type="dxa"/>
            <w:tcBorders>
              <w:top w:val="single" w:color="auto" w:sz="4" w:space="0"/>
              <w:left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《广州市高层次人才证书》或《海外高层次人才证书》或省人力资源和社会保障厅认定的相应材料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continue"/>
            <w:tcBorders>
              <w:left w:val="single" w:color="auto" w:sz="4" w:space="0"/>
              <w:right w:val="single" w:color="auto" w:sz="4" w:space="0"/>
            </w:tcBorders>
            <w:vAlign w:val="center"/>
          </w:tcPr>
          <w:p>
            <w:pPr>
              <w:jc w:val="center"/>
              <w:rPr>
                <w:rFonts w:hint="eastAsia" w:ascii="ti" w:hAnsi="ti"/>
                <w:sz w:val="20"/>
                <w:szCs w:val="21"/>
              </w:rPr>
            </w:pPr>
          </w:p>
        </w:tc>
        <w:tc>
          <w:tcPr>
            <w:tcW w:w="6966" w:type="dxa"/>
            <w:tcBorders>
              <w:top w:val="single" w:color="auto" w:sz="4" w:space="0"/>
              <w:left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“优粤卡”持有人随迁子女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sz w:val="20"/>
                <w:szCs w:val="21"/>
              </w:rPr>
            </w:pPr>
          </w:p>
        </w:tc>
        <w:tc>
          <w:tcPr>
            <w:tcW w:w="6166" w:type="dxa"/>
            <w:tcBorders>
              <w:top w:val="single" w:color="auto" w:sz="4" w:space="0"/>
              <w:left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《广东省人才优粤卡》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continue"/>
            <w:tcBorders>
              <w:left w:val="single" w:color="auto" w:sz="4" w:space="0"/>
              <w:right w:val="single" w:color="auto" w:sz="4" w:space="0"/>
            </w:tcBorders>
            <w:vAlign w:val="center"/>
          </w:tcPr>
          <w:p>
            <w:pPr>
              <w:jc w:val="center"/>
              <w:rPr>
                <w:rFonts w:hint="eastAsia" w:ascii="ti" w:hAnsi="ti"/>
                <w:sz w:val="20"/>
                <w:szCs w:val="21"/>
              </w:rPr>
            </w:pP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广州市人才绿卡持有人随迁子女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《广州市人才绿卡》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restart"/>
            <w:tcBorders>
              <w:top w:val="single" w:color="auto" w:sz="4" w:space="0"/>
              <w:left w:val="single" w:color="auto" w:sz="4" w:space="0"/>
              <w:right w:val="single" w:color="auto" w:sz="4" w:space="0"/>
            </w:tcBorders>
            <w:vAlign w:val="center"/>
          </w:tcPr>
          <w:p>
            <w:pPr>
              <w:jc w:val="center"/>
              <w:rPr>
                <w:rFonts w:hint="eastAsia" w:ascii="ti" w:hAnsi="ti"/>
                <w:sz w:val="20"/>
                <w:szCs w:val="21"/>
              </w:rPr>
            </w:pPr>
            <w:r>
              <w:rPr>
                <w:rFonts w:hint="eastAsia" w:ascii="ti" w:hAnsi="ti"/>
                <w:sz w:val="20"/>
                <w:szCs w:val="21"/>
              </w:rPr>
              <w:t>境外群体类</w:t>
            </w: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海外华侨子女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pacing w:val="-12"/>
                <w:sz w:val="20"/>
                <w:szCs w:val="21"/>
              </w:rPr>
            </w:pPr>
            <w:r>
              <w:rPr>
                <w:rFonts w:hint="eastAsia" w:ascii="ti" w:hAnsi="ti"/>
                <w:color w:val="000000"/>
                <w:sz w:val="20"/>
                <w:szCs w:val="22"/>
                <w:shd w:val="clear" w:color="auto" w:fill="FFFFFF"/>
              </w:rPr>
              <w:t>国外长期或永久居留证件、护照、其他能体现其华侨身份的材料</w:t>
            </w:r>
            <w:r>
              <w:rPr>
                <w:rFonts w:hint="eastAsia" w:ascii="ti" w:hAnsi="ti"/>
                <w:sz w:val="20"/>
                <w:szCs w:val="21"/>
              </w:rPr>
              <w:t>（外文的附中文翻译公证）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continue"/>
            <w:tcBorders>
              <w:left w:val="single" w:color="auto" w:sz="4" w:space="0"/>
              <w:right w:val="single" w:color="auto" w:sz="4" w:space="0"/>
            </w:tcBorders>
            <w:vAlign w:val="center"/>
          </w:tcPr>
          <w:p>
            <w:pPr>
              <w:jc w:val="center"/>
              <w:rPr>
                <w:rFonts w:hint="eastAsia" w:ascii="ti" w:hAnsi="ti"/>
                <w:sz w:val="20"/>
                <w:szCs w:val="21"/>
              </w:rPr>
            </w:pP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pacing w:val="-16"/>
                <w:sz w:val="20"/>
                <w:szCs w:val="21"/>
              </w:rPr>
            </w:pPr>
            <w:r>
              <w:rPr>
                <w:rFonts w:hint="eastAsia" w:ascii="ti" w:hAnsi="ti"/>
                <w:sz w:val="20"/>
                <w:szCs w:val="21"/>
              </w:rPr>
              <w:t>台胞子女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《中华人民共和国台湾居民居住证》或五年期《台湾居民来往大陆通行证》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continue"/>
            <w:tcBorders>
              <w:left w:val="single" w:color="auto" w:sz="4" w:space="0"/>
              <w:right w:val="single" w:color="auto" w:sz="4" w:space="0"/>
            </w:tcBorders>
            <w:vAlign w:val="center"/>
          </w:tcPr>
          <w:p>
            <w:pPr>
              <w:jc w:val="center"/>
              <w:rPr>
                <w:rFonts w:hint="eastAsia" w:ascii="ti" w:hAnsi="ti"/>
                <w:sz w:val="20"/>
                <w:szCs w:val="21"/>
              </w:rPr>
            </w:pP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有突出贡献的港、澳人士的适龄子女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pacing w:val="-12"/>
                <w:sz w:val="20"/>
                <w:szCs w:val="21"/>
              </w:rPr>
            </w:pPr>
            <w:r>
              <w:rPr>
                <w:rFonts w:hint="eastAsia" w:ascii="ti" w:hAnsi="ti"/>
                <w:spacing w:val="-12"/>
                <w:sz w:val="20"/>
                <w:szCs w:val="21"/>
              </w:rPr>
              <w:t>广州市荣誉市民证书、《港澳居民来往内地通行证》或《</w:t>
            </w:r>
            <w:bookmarkStart w:id="4" w:name="OLE_LINK4"/>
            <w:bookmarkStart w:id="5" w:name="OLE_LINK3"/>
            <w:r>
              <w:rPr>
                <w:rFonts w:hint="eastAsia" w:ascii="ti" w:hAnsi="ti"/>
                <w:spacing w:val="-12"/>
                <w:sz w:val="20"/>
                <w:szCs w:val="21"/>
              </w:rPr>
              <w:t>中华人民共和国港澳居民居住证》</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8" w:type="dxa"/>
            <w:vMerge w:val="continue"/>
            <w:tcBorders>
              <w:left w:val="single" w:color="auto" w:sz="4" w:space="0"/>
              <w:bottom w:val="single" w:color="auto" w:sz="4" w:space="0"/>
              <w:right w:val="single" w:color="auto" w:sz="4" w:space="0"/>
            </w:tcBorders>
            <w:vAlign w:val="center"/>
          </w:tcPr>
          <w:p>
            <w:pPr>
              <w:jc w:val="center"/>
              <w:rPr>
                <w:rFonts w:hint="eastAsia" w:ascii="ti" w:hAnsi="ti"/>
                <w:sz w:val="20"/>
                <w:szCs w:val="21"/>
              </w:rPr>
            </w:pPr>
          </w:p>
        </w:tc>
        <w:tc>
          <w:tcPr>
            <w:tcW w:w="69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驻穗领事馆等外交人员的适龄子女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 w:hAnsi="ti"/>
                <w:sz w:val="20"/>
                <w:szCs w:val="21"/>
              </w:rPr>
            </w:pP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i" w:hAnsi="ti"/>
                <w:sz w:val="20"/>
                <w:szCs w:val="21"/>
              </w:rPr>
            </w:pPr>
            <w:r>
              <w:rPr>
                <w:rFonts w:hint="eastAsia" w:ascii="ti" w:hAnsi="ti"/>
                <w:sz w:val="20"/>
                <w:szCs w:val="21"/>
              </w:rPr>
              <w:t>有效工作证件、外交护照等（外文的附中文翻译公证）</w:t>
            </w:r>
          </w:p>
        </w:tc>
      </w:tr>
    </w:tbl>
    <w:p>
      <w:pPr>
        <w:snapToGrid w:val="0"/>
        <w:spacing w:line="360" w:lineRule="exact"/>
        <w:ind w:left="-991" w:leftChars="-472" w:right="-840" w:rightChars="-400" w:firstLine="480" w:firstLineChars="200"/>
        <w:jc w:val="left"/>
        <w:rPr>
          <w:rFonts w:hint="eastAsia" w:ascii="宋体" w:hAnsi="宋体"/>
          <w:sz w:val="24"/>
        </w:rPr>
      </w:pPr>
      <w:r>
        <w:rPr>
          <w:rFonts w:hint="eastAsia" w:ascii="宋体" w:hAnsi="宋体"/>
          <w:sz w:val="24"/>
        </w:rPr>
        <w:t>注：</w:t>
      </w:r>
    </w:p>
    <w:p>
      <w:pPr>
        <w:snapToGrid w:val="0"/>
        <w:spacing w:line="360" w:lineRule="exact"/>
        <w:ind w:left="-991" w:leftChars="-472" w:right="-840" w:rightChars="-400" w:firstLine="480" w:firstLineChars="200"/>
        <w:jc w:val="left"/>
        <w:rPr>
          <w:rFonts w:hint="eastAsia" w:ascii="宋体" w:hAnsi="宋体"/>
          <w:sz w:val="24"/>
        </w:rPr>
      </w:pPr>
      <w:r>
        <w:rPr>
          <w:rFonts w:hint="eastAsia" w:ascii="宋体" w:hAnsi="宋体"/>
          <w:sz w:val="24"/>
        </w:rPr>
        <w:t>1.上述有关消防救援人员子女的规定，以《关于印发&lt;广州市消防救援支队 广州市教育局 广州市应急管理局关于消防救援队伍人员及其子女教育优待工作的实施细则（试行）&gt;的通知》(穗消〔</w:t>
      </w:r>
      <w:r>
        <w:rPr>
          <w:rFonts w:ascii="宋体" w:hAnsi="宋体"/>
          <w:sz w:val="24"/>
        </w:rPr>
        <w:t>20</w:t>
      </w:r>
      <w:r>
        <w:rPr>
          <w:rFonts w:hint="eastAsia" w:ascii="宋体" w:hAnsi="宋体"/>
          <w:sz w:val="24"/>
        </w:rPr>
        <w:t>20〕8号)为准。</w:t>
      </w:r>
    </w:p>
    <w:p>
      <w:pPr>
        <w:snapToGrid w:val="0"/>
        <w:spacing w:line="360" w:lineRule="exact"/>
        <w:ind w:left="-991" w:leftChars="-472" w:right="-840" w:rightChars="-400" w:firstLine="480" w:firstLineChars="200"/>
        <w:jc w:val="left"/>
        <w:rPr>
          <w:rFonts w:hint="eastAsia" w:ascii="宋体" w:hAnsi="宋体"/>
          <w:sz w:val="24"/>
        </w:rPr>
      </w:pPr>
      <w:r>
        <w:rPr>
          <w:rFonts w:hint="eastAsia" w:ascii="宋体" w:hAnsi="宋体"/>
          <w:sz w:val="24"/>
        </w:rPr>
        <w:t>2.上述有关抗击新冠肺炎疫情一线医疗卫生工作人员子女的规定，以《广州市教育局 广州市卫生健康委员会转发关于做好抗击疫情一线医疗卫生工作人员子女教育优待工作的通知》规定为准。</w:t>
      </w:r>
    </w:p>
    <w:p>
      <w:pPr>
        <w:snapToGrid w:val="0"/>
        <w:spacing w:line="360" w:lineRule="exact"/>
        <w:ind w:left="-991" w:leftChars="-472" w:right="-840" w:rightChars="-400" w:firstLine="480" w:firstLineChars="200"/>
        <w:jc w:val="left"/>
        <w:rPr>
          <w:rFonts w:hint="eastAsia" w:ascii="宋体" w:hAnsi="宋体"/>
          <w:sz w:val="24"/>
        </w:rPr>
      </w:pPr>
      <w:r>
        <w:rPr>
          <w:rFonts w:hint="eastAsia" w:ascii="宋体" w:hAnsi="宋体"/>
          <w:sz w:val="24"/>
        </w:rPr>
        <w:t>3.以上各项材料或证件须提交原件核验。坚决杜绝弄虚作假行为，考生及监护人对所提供的材料真伪性及因此产生的问题负全责。</w:t>
      </w:r>
    </w:p>
    <w:p>
      <w:pPr>
        <w:snapToGrid w:val="0"/>
        <w:spacing w:line="360" w:lineRule="exact"/>
        <w:ind w:left="-991" w:leftChars="-472" w:right="-840" w:rightChars="-400" w:firstLine="480" w:firstLineChars="200"/>
        <w:jc w:val="left"/>
        <w:rPr>
          <w:rFonts w:hint="eastAsia" w:ascii="宋体" w:hAnsi="宋体"/>
          <w:sz w:val="24"/>
        </w:rPr>
      </w:pPr>
      <w:r>
        <w:rPr>
          <w:rFonts w:hint="eastAsia" w:ascii="宋体" w:hAnsi="宋体"/>
          <w:sz w:val="24"/>
        </w:rPr>
        <w:t>4.上述政策性照顾事项因上级政策等情况需调整时，以上级部门发文为准。</w:t>
      </w:r>
    </w:p>
    <w:p/>
    <w:sectPr>
      <w:pgSz w:w="16838" w:h="11906" w:orient="landscape"/>
      <w:pgMar w:top="907" w:right="2098" w:bottom="964"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
    <w:altName w:val="Times New Roman"/>
    <w:panose1 w:val="00000000000000000000"/>
    <w:charset w:val="00"/>
    <w:family w:val="roman"/>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40451"/>
    <w:rsid w:val="14740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2022-02-18T06:27:00Z</dcterms:created>
  <dc:creator>哎呦餵</dc:creator>
  <cp:lastModifiedBy>哎呦餵</cp:lastModifiedBy>
  <dcterms:modified xsi:type="dcterms:W3CDTF">2022-02-18T06:28:42Z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81A890BAD8EE431299A915187A7FBC40</vt:lpwstr>
  </property>
</Properties>
</file>