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附表</w:t>
      </w:r>
    </w:p>
    <w:p>
      <w:pPr>
        <w:spacing w:before="313" w:beforeLines="100" w:after="313" w:afterLines="100" w:line="596" w:lineRule="exact"/>
        <w:jc w:val="center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2"/>
          <w:szCs w:val="42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2"/>
          <w:szCs w:val="42"/>
          <w:u w:val="none"/>
          <w:lang w:val="en-US" w:eastAsia="zh-CN" w:bidi="ar"/>
        </w:rPr>
        <w:t>湖南省实行政府指导价的公证服务收费项目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2"/>
          <w:szCs w:val="42"/>
          <w:u w:val="none"/>
          <w:lang w:val="en-US" w:eastAsia="zh-CN" w:bidi="ar"/>
        </w:rPr>
        <w:t>和标准</w:t>
      </w:r>
    </w:p>
    <w:p>
      <w:pPr>
        <w:keepNext w:val="0"/>
        <w:keepLines w:val="0"/>
        <w:widowControl/>
        <w:suppressLineNumbers w:val="0"/>
        <w:spacing w:line="300" w:lineRule="exact"/>
        <w:jc w:val="center"/>
        <w:textAlignment w:val="center"/>
        <w:rPr>
          <w:rFonts w:hint="default" w:ascii="Times New Roman" w:hAnsi="Times New Roman" w:eastAsia="黑体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2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3992"/>
        <w:gridCol w:w="2033"/>
        <w:gridCol w:w="1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6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收费标准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一、证明文件文书类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证明文书上的签名、印鉴、日期</w:t>
            </w:r>
          </w:p>
        </w:tc>
        <w:tc>
          <w:tcPr>
            <w:tcW w:w="12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每件300元</w:t>
            </w:r>
          </w:p>
        </w:tc>
        <w:tc>
          <w:tcPr>
            <w:tcW w:w="104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证明知识产权的享有、转让和使用许可文书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每件500元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身份证、居民户口簿、户口注销证明、出生证、结婚证、学位学历证书、成绩单、技术职称证书、资格证书、驾驶证、机动车登记证书、行驶证、健康状况证明（证书）、疾病（诊断）证明、居民死亡医学证明书、判决书、调解书等证书（执照）、证明的复印件与原件相符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每件150元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证明法人或其他组织的授权委托书、营业执照、公司章程、会议决议、财务报表、审计报告、法定代表人身份证明书或其他法律文书；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每件400元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证明自然人的授权委托书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每件300元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证明自然人的承诺书、具结书、担保书、声明书、保证书、解除收养、认领亲子、亲子鉴定等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每件200元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证明文书的副本、影印本与原本相符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每件150元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办理涉外公证时，要求同时证明该公证书的译文与原文相符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每件100元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二、证明法律事实类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赋予债权文书具有强制执行效力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每件1000元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在证明合同（协议）公证基础上加收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赋予债权文书具有强制执行效力合同需出具执行证书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每件1000元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证明收养关系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每件500元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9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证明合同（协议）</w:t>
            </w:r>
          </w:p>
        </w:tc>
        <w:tc>
          <w:tcPr>
            <w:tcW w:w="12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不涉及财产关系的，每件400元</w:t>
            </w:r>
          </w:p>
        </w:tc>
        <w:tc>
          <w:tcPr>
            <w:tcW w:w="104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涉及财产关系的：标的额10万元（含10万元）以下的，收取500元。</w:t>
            </w:r>
          </w:p>
        </w:tc>
        <w:tc>
          <w:tcPr>
            <w:tcW w:w="10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标的额在10万元以上的按分段累加计算法计收:</w:t>
            </w: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50万元（含50万元）以下的部分，按0.4%收取；</w:t>
            </w: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50万元以上至100万元（含100万元）的部分，按0.3%收取；</w:t>
            </w: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100万元以上至500万元（含500万元）的部分，按0.1%收取；</w:t>
            </w: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500万元以上至1000万元（含1000万元）的部分，按0.05%收取；</w:t>
            </w: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1000万元以上至5000万元（含5000万元）的部分，按0.04%收取；</w:t>
            </w: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5000万元以上至1亿元（含1亿元）的部分，按0.01%收取；</w:t>
            </w: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超过1亿元的部分，按0.007%收取</w:t>
            </w: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证明财产继承、赠与、接受遗赠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按受益额的比例分段累加计算：受益额20万元（含20万元）以下的部分，按1.2%收取，低于200元的按200元收取；</w:t>
            </w:r>
          </w:p>
        </w:tc>
        <w:tc>
          <w:tcPr>
            <w:tcW w:w="10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按办理公证时受益财产的市场价值为受益额计算。证明单方赠与或受赠的，减半收取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20万元以上至50万元（含50万元）的部分，按0.8%收取；</w:t>
            </w: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50万元以上至500万元（含500万元）的部分，按0.6%收取；</w:t>
            </w: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500万元以上至1000万元（含1000万元）的部分，按0.5%收取；</w:t>
            </w: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超过1000万元（含1000万元）的部分，按0.1%收取</w:t>
            </w: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证明遗嘱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每件1000元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含摄像、刻录光盘、冲印照片的费用。复杂的遗嘱公证可以进行协商收费，包括：办理时间超过半天、涉及其他行业专业技术辅助、涉及遗嘱信托或遗嘱监护内容等情况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出生、生存、死亡、国籍、户籍注销、曾用名、住所地（居住地）、学历、学位、自然人经历、职务（职称）、有无违法犯罪记录、婚姻状况、亲属关系、收入状况、纳税状况、选票、指纹、不可抗力（意外事件）、查无档案记录、证件遗失等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每件150元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证明资格、资信、房屋产权、股权、知识产权、存款、法人经历等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每件500元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证明监护权、抚养事实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每件300元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证明招标投标、拍卖、彩票销售等竞争性交易行为或抽签、抽奖、评奖、物品销毁、公司会议等现场监督公证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每小时1000元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不满1小时，按1小时收取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其中证明物品销毁按每次1000元、证明公司会议按每次2000元收取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证明股票发行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每件3万元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保全证据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每件1000元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复杂的保全证据，可以进行协商收费。复杂的情形包括：保全证据时间超过一小时且工作强度比较大的；涉及其他行业专业技术辅助；工作环境比较恶劣的；要求两名以上公证员分组进行的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证明对财产的清点、清算、评估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每次1000元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复杂的财产的清点、清算、评估，可以协商收费。复杂的情形包括：财产的清点、清算、评估时间超过一小时且工作强度比较大的；涉及其他行业专业技术辅助；工作环境比较恶劣的；要求两名以上公证员分组进行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票据拒绝证书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每件300元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提存公证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按标的额的比例分段累计收取：标的额1000万元及以下部分，为0.3%，低于300元的按300元收取；</w:t>
            </w:r>
          </w:p>
        </w:tc>
        <w:tc>
          <w:tcPr>
            <w:tcW w:w="10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1000万元—1亿元部分（含1亿元），为0.08%；</w:t>
            </w: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1亿元以上部分，为0.05%</w:t>
            </w: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办理法律规定的抵押登记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每件300元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743B1"/>
    <w:rsid w:val="73F7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2020-11-18T02:17:00Z</dcterms:created>
  <dc:creator>泰妍的小果达</dc:creator>
  <cp:lastModifiedBy>泰妍的小果达</cp:lastModifiedBy>
  <dcterms:modified xsi:type="dcterms:W3CDTF">2020-11-18T02:18:49Z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