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65" w:type="dxa"/>
        <w:tblCellSpacing w:w="15" w:type="dxa"/>
        <w:tblInd w:w="0" w:type="dxa"/>
        <w:shd w:val="clear"/>
        <w:tblLayout w:type="fixed"/>
        <w:tblCellMar>
          <w:top w:w="0" w:type="dxa"/>
          <w:left w:w="0" w:type="dxa"/>
          <w:bottom w:w="0" w:type="dxa"/>
          <w:right w:w="0" w:type="dxa"/>
        </w:tblCellMar>
      </w:tblPr>
      <w:tblGrid>
        <w:gridCol w:w="2411"/>
        <w:gridCol w:w="5954"/>
      </w:tblGrid>
      <w:tr>
        <w:tblPrEx>
          <w:shd w:val="clear"/>
          <w:tblLayout w:type="fixed"/>
          <w:tblCellMar>
            <w:top w:w="0" w:type="dxa"/>
            <w:left w:w="0" w:type="dxa"/>
            <w:bottom w:w="0" w:type="dxa"/>
            <w:right w:w="0" w:type="dxa"/>
          </w:tblCellMar>
        </w:tblPrEx>
        <w:trPr>
          <w:tblCellSpacing w:w="15" w:type="dxa"/>
        </w:trPr>
        <w:tc>
          <w:tcPr>
            <w:tcW w:w="2366"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名称：</w:t>
            </w:r>
          </w:p>
        </w:tc>
        <w:tc>
          <w:tcPr>
            <w:tcW w:w="5909"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杭州市公共场所控制吸烟条例 </w:t>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color="auto" w:fill="CCCCCC"/>
            <w:vAlign w:val="center"/>
          </w:tcPr>
          <w:p>
            <w:pPr>
              <w:keepNext w:val="0"/>
              <w:keepLines w:val="0"/>
              <w:widowControl/>
              <w:suppressLineNumbers w:val="0"/>
              <w:shd w:val="clear" w:fill="CCCCCC"/>
              <w:jc w:val="left"/>
              <w:rPr>
                <w:sz w:val="18"/>
                <w:szCs w:val="18"/>
              </w:rPr>
            </w:pPr>
            <w:r>
              <w:rPr>
                <w:rFonts w:ascii="宋体" w:hAnsi="宋体" w:eastAsia="宋体" w:cs="宋体"/>
                <w:kern w:val="0"/>
                <w:sz w:val="18"/>
                <w:szCs w:val="18"/>
                <w:lang w:val="en-US" w:eastAsia="zh-CN" w:bidi="ar"/>
              </w:rPr>
              <w:drawing>
                <wp:inline distT="0" distB="0" distL="114300" distR="114300">
                  <wp:extent cx="9525" cy="9525"/>
                  <wp:effectExtent l="0" t="0" r="0" b="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r>
      <w:tr>
        <w:tblPrEx>
          <w:shd w:val="clear"/>
          <w:tblLayout w:type="fixed"/>
          <w:tblCellMar>
            <w:top w:w="0" w:type="dxa"/>
            <w:left w:w="0" w:type="dxa"/>
            <w:bottom w:w="0" w:type="dxa"/>
            <w:right w:w="0" w:type="dxa"/>
          </w:tblCellMar>
        </w:tblPrEx>
        <w:trPr>
          <w:tblCellSpacing w:w="15" w:type="dxa"/>
        </w:trPr>
        <w:tc>
          <w:tcPr>
            <w:tcW w:w="2366"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法规分类：</w:t>
            </w:r>
          </w:p>
        </w:tc>
        <w:tc>
          <w:tcPr>
            <w:tcW w:w="5909"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公用事业 </w:t>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color="auto" w:fill="CCCCCC"/>
            <w:vAlign w:val="center"/>
          </w:tcPr>
          <w:p>
            <w:pPr>
              <w:keepNext w:val="0"/>
              <w:keepLines w:val="0"/>
              <w:widowControl/>
              <w:suppressLineNumbers w:val="0"/>
              <w:shd w:val="clear" w:fill="CCCCCC"/>
              <w:jc w:val="left"/>
              <w:rPr>
                <w:sz w:val="18"/>
                <w:szCs w:val="18"/>
              </w:rPr>
            </w:pPr>
            <w:r>
              <w:rPr>
                <w:rFonts w:ascii="宋体" w:hAnsi="宋体" w:eastAsia="宋体" w:cs="宋体"/>
                <w:kern w:val="0"/>
                <w:sz w:val="18"/>
                <w:szCs w:val="18"/>
                <w:lang w:val="en-US" w:eastAsia="zh-CN" w:bidi="ar"/>
              </w:rPr>
              <w:drawing>
                <wp:inline distT="0" distB="0" distL="114300" distR="114300">
                  <wp:extent cx="9525" cy="95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r>
      <w:tr>
        <w:tblPrEx>
          <w:shd w:val="clear"/>
          <w:tblLayout w:type="fixed"/>
          <w:tblCellMar>
            <w:top w:w="0" w:type="dxa"/>
            <w:left w:w="0" w:type="dxa"/>
            <w:bottom w:w="0" w:type="dxa"/>
            <w:right w:w="0" w:type="dxa"/>
          </w:tblCellMar>
        </w:tblPrEx>
        <w:trPr>
          <w:tblCellSpacing w:w="15" w:type="dxa"/>
        </w:trPr>
        <w:tc>
          <w:tcPr>
            <w:tcW w:w="2366"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颁布日期：</w:t>
            </w:r>
          </w:p>
        </w:tc>
        <w:tc>
          <w:tcPr>
            <w:tcW w:w="5909"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2009-11-27 </w:t>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color="auto" w:fill="CCCCCC"/>
            <w:vAlign w:val="center"/>
          </w:tcPr>
          <w:p>
            <w:pPr>
              <w:keepNext w:val="0"/>
              <w:keepLines w:val="0"/>
              <w:widowControl/>
              <w:suppressLineNumbers w:val="0"/>
              <w:shd w:val="clear" w:fill="CCCCCC"/>
              <w:jc w:val="left"/>
              <w:rPr>
                <w:sz w:val="18"/>
                <w:szCs w:val="18"/>
              </w:rPr>
            </w:pPr>
            <w:r>
              <w:rPr>
                <w:rFonts w:ascii="宋体" w:hAnsi="宋体" w:eastAsia="宋体" w:cs="宋体"/>
                <w:kern w:val="0"/>
                <w:sz w:val="18"/>
                <w:szCs w:val="18"/>
                <w:lang w:val="en-US" w:eastAsia="zh-CN" w:bidi="ar"/>
              </w:rPr>
              <w:drawing>
                <wp:inline distT="0" distB="0" distL="114300" distR="114300">
                  <wp:extent cx="9525" cy="9525"/>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r>
      <w:tr>
        <w:tblPrEx>
          <w:shd w:val="clear"/>
          <w:tblLayout w:type="fixed"/>
          <w:tblCellMar>
            <w:top w:w="0" w:type="dxa"/>
            <w:left w:w="0" w:type="dxa"/>
            <w:bottom w:w="0" w:type="dxa"/>
            <w:right w:w="0" w:type="dxa"/>
          </w:tblCellMar>
        </w:tblPrEx>
        <w:trPr>
          <w:tblCellSpacing w:w="15" w:type="dxa"/>
        </w:trPr>
        <w:tc>
          <w:tcPr>
            <w:tcW w:w="2366"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实施日期：</w:t>
            </w:r>
          </w:p>
        </w:tc>
        <w:tc>
          <w:tcPr>
            <w:tcW w:w="5909"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2010-03-01 </w:t>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color="auto" w:fill="CCCCCC"/>
            <w:vAlign w:val="center"/>
          </w:tcPr>
          <w:p>
            <w:pPr>
              <w:keepNext w:val="0"/>
              <w:keepLines w:val="0"/>
              <w:widowControl/>
              <w:suppressLineNumbers w:val="0"/>
              <w:shd w:val="clear" w:fill="CCCCCC"/>
              <w:jc w:val="left"/>
              <w:rPr>
                <w:sz w:val="18"/>
                <w:szCs w:val="18"/>
              </w:rPr>
            </w:pPr>
            <w:r>
              <w:rPr>
                <w:rFonts w:ascii="宋体" w:hAnsi="宋体" w:eastAsia="宋体" w:cs="宋体"/>
                <w:kern w:val="0"/>
                <w:sz w:val="18"/>
                <w:szCs w:val="18"/>
                <w:lang w:val="en-US" w:eastAsia="zh-CN" w:bidi="ar"/>
              </w:rPr>
              <w:drawing>
                <wp:inline distT="0" distB="0" distL="114300" distR="114300">
                  <wp:extent cx="9525" cy="9525"/>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r>
      <w:tr>
        <w:tblPrEx>
          <w:shd w:val="clear"/>
          <w:tblLayout w:type="fixed"/>
          <w:tblCellMar>
            <w:top w:w="0" w:type="dxa"/>
            <w:left w:w="0" w:type="dxa"/>
            <w:bottom w:w="0" w:type="dxa"/>
            <w:right w:w="0" w:type="dxa"/>
          </w:tblCellMar>
        </w:tblPrEx>
        <w:trPr>
          <w:tblCellSpacing w:w="15" w:type="dxa"/>
        </w:trPr>
        <w:tc>
          <w:tcPr>
            <w:tcW w:w="2366"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失效日期：</w:t>
            </w:r>
          </w:p>
        </w:tc>
        <w:tc>
          <w:tcPr>
            <w:tcW w:w="5909"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w:t>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color="auto" w:fill="CCCCCC"/>
            <w:vAlign w:val="center"/>
          </w:tcPr>
          <w:p>
            <w:pPr>
              <w:keepNext w:val="0"/>
              <w:keepLines w:val="0"/>
              <w:widowControl/>
              <w:suppressLineNumbers w:val="0"/>
              <w:shd w:val="clear" w:fill="CCCCCC"/>
              <w:jc w:val="left"/>
              <w:rPr>
                <w:sz w:val="18"/>
                <w:szCs w:val="18"/>
              </w:rPr>
            </w:pPr>
            <w:r>
              <w:rPr>
                <w:rFonts w:ascii="宋体" w:hAnsi="宋体" w:eastAsia="宋体" w:cs="宋体"/>
                <w:kern w:val="0"/>
                <w:sz w:val="18"/>
                <w:szCs w:val="18"/>
                <w:lang w:val="en-US" w:eastAsia="zh-CN" w:bidi="ar"/>
              </w:rPr>
              <w:drawing>
                <wp:inline distT="0" distB="0" distL="114300" distR="114300">
                  <wp:extent cx="9525" cy="9525"/>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r>
      <w:tr>
        <w:tblPrEx>
          <w:shd w:val="clear"/>
          <w:tblLayout w:type="fixed"/>
          <w:tblCellMar>
            <w:top w:w="0" w:type="dxa"/>
            <w:left w:w="0" w:type="dxa"/>
            <w:bottom w:w="0" w:type="dxa"/>
            <w:right w:w="0" w:type="dxa"/>
          </w:tblCellMar>
        </w:tblPrEx>
        <w:trPr>
          <w:tblCellSpacing w:w="15" w:type="dxa"/>
        </w:trPr>
        <w:tc>
          <w:tcPr>
            <w:tcW w:w="2366"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发布日期：</w:t>
            </w:r>
          </w:p>
        </w:tc>
        <w:tc>
          <w:tcPr>
            <w:tcW w:w="5909"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2018-08-27  </w:t>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color="auto" w:fill="CCCCCC"/>
            <w:vAlign w:val="center"/>
          </w:tcPr>
          <w:p>
            <w:pPr>
              <w:keepNext w:val="0"/>
              <w:keepLines w:val="0"/>
              <w:widowControl/>
              <w:suppressLineNumbers w:val="0"/>
              <w:shd w:val="clear" w:fill="CCCCCC"/>
              <w:jc w:val="left"/>
              <w:rPr>
                <w:sz w:val="18"/>
                <w:szCs w:val="18"/>
              </w:rPr>
            </w:pPr>
            <w:r>
              <w:rPr>
                <w:rFonts w:ascii="宋体" w:hAnsi="宋体" w:eastAsia="宋体" w:cs="宋体"/>
                <w:kern w:val="0"/>
                <w:sz w:val="18"/>
                <w:szCs w:val="18"/>
                <w:lang w:val="en-US" w:eastAsia="zh-CN" w:bidi="ar"/>
              </w:rPr>
              <w:drawing>
                <wp:inline distT="0" distB="0" distL="114300" distR="114300">
                  <wp:extent cx="9525" cy="9525"/>
                  <wp:effectExtent l="0" t="0" r="0"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r>
      <w:tr>
        <w:tblPrEx>
          <w:shd w:val="clear"/>
          <w:tblLayout w:type="fixed"/>
          <w:tblCellMar>
            <w:top w:w="0" w:type="dxa"/>
            <w:left w:w="0" w:type="dxa"/>
            <w:bottom w:w="0" w:type="dxa"/>
            <w:right w:w="0" w:type="dxa"/>
          </w:tblCellMar>
        </w:tblPrEx>
        <w:trPr>
          <w:tblCellSpacing w:w="15" w:type="dxa"/>
        </w:trPr>
        <w:tc>
          <w:tcPr>
            <w:tcW w:w="2366"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时效性：</w:t>
            </w:r>
          </w:p>
        </w:tc>
        <w:tc>
          <w:tcPr>
            <w:tcW w:w="5909"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有效 </w:t>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color="auto" w:fill="CCCCCC"/>
            <w:vAlign w:val="center"/>
          </w:tcPr>
          <w:p>
            <w:pPr>
              <w:keepNext w:val="0"/>
              <w:keepLines w:val="0"/>
              <w:widowControl/>
              <w:suppressLineNumbers w:val="0"/>
              <w:shd w:val="clear" w:fill="CCCCCC"/>
              <w:jc w:val="left"/>
              <w:rPr>
                <w:sz w:val="18"/>
                <w:szCs w:val="18"/>
              </w:rPr>
            </w:pPr>
            <w:r>
              <w:rPr>
                <w:rFonts w:ascii="宋体" w:hAnsi="宋体" w:eastAsia="宋体" w:cs="宋体"/>
                <w:kern w:val="0"/>
                <w:sz w:val="18"/>
                <w:szCs w:val="18"/>
                <w:lang w:val="en-US" w:eastAsia="zh-CN" w:bidi="ar"/>
              </w:rPr>
              <w:drawing>
                <wp:inline distT="0" distB="0" distL="114300" distR="114300">
                  <wp:extent cx="9525" cy="9525"/>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r>
      <w:tr>
        <w:tblPrEx>
          <w:shd w:val="clear"/>
          <w:tblLayout w:type="fixed"/>
          <w:tblCellMar>
            <w:top w:w="0" w:type="dxa"/>
            <w:left w:w="0" w:type="dxa"/>
            <w:bottom w:w="0" w:type="dxa"/>
            <w:right w:w="0" w:type="dxa"/>
          </w:tblCellMar>
        </w:tblPrEx>
        <w:trPr>
          <w:tblCellSpacing w:w="15" w:type="dxa"/>
        </w:trPr>
        <w:tc>
          <w:tcPr>
            <w:tcW w:w="2366"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颁布单位：</w:t>
            </w:r>
          </w:p>
        </w:tc>
        <w:tc>
          <w:tcPr>
            <w:tcW w:w="5909" w:type="dxa"/>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w:t>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color="auto" w:fill="CCCCCC"/>
            <w:vAlign w:val="center"/>
          </w:tcPr>
          <w:p>
            <w:pPr>
              <w:keepNext w:val="0"/>
              <w:keepLines w:val="0"/>
              <w:widowControl/>
              <w:suppressLineNumbers w:val="0"/>
              <w:shd w:val="clear" w:fill="CCCCCC"/>
              <w:jc w:val="left"/>
              <w:rPr>
                <w:sz w:val="18"/>
                <w:szCs w:val="18"/>
              </w:rPr>
            </w:pPr>
            <w:r>
              <w:rPr>
                <w:rFonts w:ascii="宋体" w:hAnsi="宋体" w:eastAsia="宋体" w:cs="宋体"/>
                <w:kern w:val="0"/>
                <w:sz w:val="18"/>
                <w:szCs w:val="18"/>
                <w:lang w:val="en-US" w:eastAsia="zh-CN" w:bidi="ar"/>
              </w:rPr>
              <w:drawing>
                <wp:inline distT="0" distB="0" distL="114300" distR="114300">
                  <wp:extent cx="9525" cy="9525"/>
                  <wp:effectExtent l="0" t="0" r="0" b="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正文：</w:t>
            </w:r>
          </w:p>
        </w:tc>
      </w:tr>
      <w:tr>
        <w:tblPrEx>
          <w:shd w:val="clear"/>
          <w:tblLayout w:type="fixed"/>
          <w:tblCellMar>
            <w:top w:w="0" w:type="dxa"/>
            <w:left w:w="0" w:type="dxa"/>
            <w:bottom w:w="0" w:type="dxa"/>
            <w:right w:w="0" w:type="dxa"/>
          </w:tblCellMar>
        </w:tblPrEx>
        <w:trPr>
          <w:tblCellSpacing w:w="15" w:type="dxa"/>
        </w:trPr>
        <w:tc>
          <w:tcPr>
            <w:tcW w:w="8305" w:type="dxa"/>
            <w:gridSpan w:val="2"/>
            <w:shd w:val="clear"/>
            <w:vAlign w:val="center"/>
          </w:tcPr>
          <w:p>
            <w:pPr>
              <w:pStyle w:val="2"/>
              <w:keepNext w:val="0"/>
              <w:keepLines w:val="0"/>
              <w:widowControl/>
              <w:suppressLineNumbers w:val="0"/>
              <w:jc w:val="center"/>
            </w:pPr>
            <w:r>
              <w:rPr>
                <w:sz w:val="18"/>
                <w:szCs w:val="18"/>
              </w:rPr>
              <w:t>（2009年8月26日杭州市第十一届人民代表大会常务委员会第十七次会议通过 2009年11月27日浙江省第十一届人民代表大会常务委员会第十四次会议批准）</w:t>
            </w:r>
          </w:p>
          <w:p>
            <w:pPr>
              <w:pStyle w:val="2"/>
              <w:keepNext w:val="0"/>
              <w:keepLines w:val="0"/>
              <w:widowControl/>
              <w:suppressLineNumbers w:val="0"/>
              <w:jc w:val="left"/>
            </w:pPr>
            <w:r>
              <w:rPr>
                <w:sz w:val="18"/>
                <w:szCs w:val="18"/>
              </w:rPr>
              <w:t>　　第一条 为减少吸烟造成的危害，保障公民健康，创造良好的公共场所卫生环境，根据有关法律、法规的规定，结合本市实际，制定本条例。</w:t>
            </w:r>
          </w:p>
          <w:p>
            <w:pPr>
              <w:pStyle w:val="2"/>
              <w:keepNext w:val="0"/>
              <w:keepLines w:val="0"/>
              <w:widowControl/>
              <w:suppressLineNumbers w:val="0"/>
              <w:jc w:val="left"/>
            </w:pPr>
            <w:r>
              <w:rPr>
                <w:sz w:val="18"/>
                <w:szCs w:val="18"/>
              </w:rPr>
              <w:t>　　第二条 杭州市市区和各县（市）政府所在地城镇范围内的公共场所控制吸烟监督管理活动，适用本条例。</w:t>
            </w:r>
          </w:p>
          <w:p>
            <w:pPr>
              <w:pStyle w:val="2"/>
              <w:keepNext w:val="0"/>
              <w:keepLines w:val="0"/>
              <w:widowControl/>
              <w:suppressLineNumbers w:val="0"/>
              <w:jc w:val="left"/>
            </w:pPr>
            <w:r>
              <w:rPr>
                <w:sz w:val="18"/>
                <w:szCs w:val="18"/>
              </w:rPr>
              <w:t>　　第三条 本市公共场所控制吸烟监督管理活动遵循加强引导、限定场所、单位负责、严格管理的原则。</w:t>
            </w:r>
          </w:p>
          <w:p>
            <w:pPr>
              <w:pStyle w:val="2"/>
              <w:keepNext w:val="0"/>
              <w:keepLines w:val="0"/>
              <w:widowControl/>
              <w:suppressLineNumbers w:val="0"/>
              <w:jc w:val="left"/>
            </w:pPr>
            <w:r>
              <w:rPr>
                <w:sz w:val="18"/>
                <w:szCs w:val="18"/>
              </w:rPr>
              <w:t>　　第四条 市卫生行政部门主管全市公共场所控制吸烟监督管理工作。</w:t>
            </w:r>
          </w:p>
          <w:p>
            <w:pPr>
              <w:pStyle w:val="2"/>
              <w:keepNext w:val="0"/>
              <w:keepLines w:val="0"/>
              <w:widowControl/>
              <w:suppressLineNumbers w:val="0"/>
              <w:jc w:val="left"/>
            </w:pPr>
            <w:r>
              <w:rPr>
                <w:sz w:val="18"/>
                <w:szCs w:val="18"/>
              </w:rPr>
              <w:t>　　各区、县（市）卫生行政部门负责本辖区内公共场所控制吸烟监督管理工作。</w:t>
            </w:r>
          </w:p>
          <w:p>
            <w:pPr>
              <w:pStyle w:val="2"/>
              <w:keepNext w:val="0"/>
              <w:keepLines w:val="0"/>
              <w:widowControl/>
              <w:suppressLineNumbers w:val="0"/>
              <w:jc w:val="left"/>
            </w:pPr>
            <w:r>
              <w:rPr>
                <w:sz w:val="18"/>
                <w:szCs w:val="18"/>
              </w:rPr>
              <w:t>　　工商、烟草专卖、教育、文化、广播影视、新闻出版、交通、旅游、体育、公安、城市管理等部门和有关社会团体在各自职责范围内协助卫生行政部门做好公共场所控制吸烟监督管理工作。</w:t>
            </w:r>
          </w:p>
          <w:p>
            <w:pPr>
              <w:pStyle w:val="2"/>
              <w:keepNext w:val="0"/>
              <w:keepLines w:val="0"/>
              <w:widowControl/>
              <w:suppressLineNumbers w:val="0"/>
              <w:jc w:val="left"/>
            </w:pPr>
            <w:r>
              <w:rPr>
                <w:sz w:val="18"/>
                <w:szCs w:val="18"/>
              </w:rPr>
              <w:t>　　第五条 下列公共场所禁止吸烟：</w:t>
            </w:r>
          </w:p>
          <w:p>
            <w:pPr>
              <w:pStyle w:val="2"/>
              <w:keepNext w:val="0"/>
              <w:keepLines w:val="0"/>
              <w:widowControl/>
              <w:suppressLineNumbers w:val="0"/>
              <w:jc w:val="left"/>
            </w:pPr>
            <w:r>
              <w:rPr>
                <w:sz w:val="18"/>
                <w:szCs w:val="18"/>
              </w:rPr>
              <w:t>　　（一）医疗机构的医疗活动场所；</w:t>
            </w:r>
          </w:p>
          <w:p>
            <w:pPr>
              <w:pStyle w:val="2"/>
              <w:keepNext w:val="0"/>
              <w:keepLines w:val="0"/>
              <w:widowControl/>
              <w:suppressLineNumbers w:val="0"/>
              <w:jc w:val="left"/>
            </w:pPr>
            <w:r>
              <w:rPr>
                <w:sz w:val="18"/>
                <w:szCs w:val="18"/>
              </w:rPr>
              <w:t>　　（二）托儿所、幼儿园；</w:t>
            </w:r>
          </w:p>
          <w:p>
            <w:pPr>
              <w:pStyle w:val="2"/>
              <w:keepNext w:val="0"/>
              <w:keepLines w:val="0"/>
              <w:widowControl/>
              <w:suppressLineNumbers w:val="0"/>
              <w:jc w:val="left"/>
            </w:pPr>
            <w:r>
              <w:rPr>
                <w:sz w:val="18"/>
                <w:szCs w:val="18"/>
              </w:rPr>
              <w:t>　　（三）各类学校、教育培训机构的室内教学活动场所、食堂、学生宿舍及青少年活动场所的室内活动区域；</w:t>
            </w:r>
          </w:p>
          <w:p>
            <w:pPr>
              <w:pStyle w:val="2"/>
              <w:keepNext w:val="0"/>
              <w:keepLines w:val="0"/>
              <w:widowControl/>
              <w:suppressLineNumbers w:val="0"/>
              <w:jc w:val="left"/>
            </w:pPr>
            <w:r>
              <w:rPr>
                <w:sz w:val="18"/>
                <w:szCs w:val="18"/>
              </w:rPr>
              <w:t>　　（四）影剧院、音乐厅、档案馆、图书馆、博物馆（院）、美术馆、陈列馆、展览馆、科技馆等科教、文化、艺术场所的室内区域；</w:t>
            </w:r>
          </w:p>
          <w:p>
            <w:pPr>
              <w:pStyle w:val="2"/>
              <w:keepNext w:val="0"/>
              <w:keepLines w:val="0"/>
              <w:widowControl/>
              <w:suppressLineNumbers w:val="0"/>
              <w:jc w:val="left"/>
            </w:pPr>
            <w:r>
              <w:rPr>
                <w:sz w:val="18"/>
                <w:szCs w:val="18"/>
              </w:rPr>
              <w:t>　　（五）体育场馆及非经营性运动健身场所的观众区、比赛区或运动区；</w:t>
            </w:r>
          </w:p>
          <w:p>
            <w:pPr>
              <w:pStyle w:val="2"/>
              <w:keepNext w:val="0"/>
              <w:keepLines w:val="0"/>
              <w:widowControl/>
              <w:suppressLineNumbers w:val="0"/>
              <w:jc w:val="left"/>
            </w:pPr>
            <w:r>
              <w:rPr>
                <w:sz w:val="18"/>
                <w:szCs w:val="18"/>
              </w:rPr>
              <w:t>　　（六）对社会开放的文物保护单位；</w:t>
            </w:r>
          </w:p>
          <w:p>
            <w:pPr>
              <w:pStyle w:val="2"/>
              <w:keepNext w:val="0"/>
              <w:keepLines w:val="0"/>
              <w:widowControl/>
              <w:suppressLineNumbers w:val="0"/>
              <w:jc w:val="left"/>
            </w:pPr>
            <w:r>
              <w:rPr>
                <w:sz w:val="18"/>
                <w:szCs w:val="18"/>
              </w:rPr>
              <w:t>　　（七）会议室；</w:t>
            </w:r>
          </w:p>
          <w:p>
            <w:pPr>
              <w:pStyle w:val="2"/>
              <w:keepNext w:val="0"/>
              <w:keepLines w:val="0"/>
              <w:widowControl/>
              <w:suppressLineNumbers w:val="0"/>
              <w:jc w:val="left"/>
            </w:pPr>
            <w:r>
              <w:rPr>
                <w:sz w:val="18"/>
                <w:szCs w:val="18"/>
              </w:rPr>
              <w:t>　　（八）公共汽（电）车、出租车、轨道交通、船舶等公共交通工具内部；</w:t>
            </w:r>
          </w:p>
          <w:p>
            <w:pPr>
              <w:pStyle w:val="2"/>
              <w:keepNext w:val="0"/>
              <w:keepLines w:val="0"/>
              <w:widowControl/>
              <w:suppressLineNumbers w:val="0"/>
              <w:jc w:val="left"/>
            </w:pPr>
            <w:r>
              <w:rPr>
                <w:sz w:val="18"/>
                <w:szCs w:val="18"/>
              </w:rPr>
              <w:t>　　（九）公共电梯内部和地下人行通道；</w:t>
            </w:r>
          </w:p>
          <w:p>
            <w:pPr>
              <w:pStyle w:val="2"/>
              <w:keepNext w:val="0"/>
              <w:keepLines w:val="0"/>
              <w:widowControl/>
              <w:suppressLineNumbers w:val="0"/>
              <w:jc w:val="left"/>
            </w:pPr>
            <w:r>
              <w:rPr>
                <w:sz w:val="18"/>
                <w:szCs w:val="18"/>
              </w:rPr>
              <w:t>　　（十）法律、法规、规章规定的其他禁止吸烟场所。</w:t>
            </w:r>
          </w:p>
          <w:p>
            <w:pPr>
              <w:pStyle w:val="2"/>
              <w:keepNext w:val="0"/>
              <w:keepLines w:val="0"/>
              <w:widowControl/>
              <w:suppressLineNumbers w:val="0"/>
              <w:jc w:val="left"/>
            </w:pPr>
            <w:r>
              <w:rPr>
                <w:sz w:val="18"/>
                <w:szCs w:val="18"/>
              </w:rPr>
              <w:t>　　公园、广场举行集会等重大活动时禁止吸烟。</w:t>
            </w:r>
          </w:p>
          <w:p>
            <w:pPr>
              <w:pStyle w:val="2"/>
              <w:keepNext w:val="0"/>
              <w:keepLines w:val="0"/>
              <w:widowControl/>
              <w:suppressLineNumbers w:val="0"/>
              <w:jc w:val="left"/>
            </w:pPr>
            <w:r>
              <w:rPr>
                <w:sz w:val="18"/>
                <w:szCs w:val="18"/>
              </w:rPr>
              <w:t>　　第六条 下列公共场所室内区域可按本条例第七条规定的要求划定吸烟区或者设置专用吸烟室，吸烟区或者专用吸烟室以外的区域禁止吸烟：</w:t>
            </w:r>
          </w:p>
          <w:p>
            <w:pPr>
              <w:pStyle w:val="2"/>
              <w:keepNext w:val="0"/>
              <w:keepLines w:val="0"/>
              <w:widowControl/>
              <w:suppressLineNumbers w:val="0"/>
              <w:jc w:val="left"/>
            </w:pPr>
            <w:r>
              <w:rPr>
                <w:sz w:val="18"/>
                <w:szCs w:val="18"/>
              </w:rPr>
              <w:t>　　（一）经营性洗浴中心（含浴室）、足浴、按摩保健、美容美发场所的服务区域；</w:t>
            </w:r>
          </w:p>
          <w:p>
            <w:pPr>
              <w:pStyle w:val="2"/>
              <w:keepNext w:val="0"/>
              <w:keepLines w:val="0"/>
              <w:widowControl/>
              <w:suppressLineNumbers w:val="0"/>
              <w:jc w:val="left"/>
            </w:pPr>
            <w:r>
              <w:rPr>
                <w:sz w:val="18"/>
                <w:szCs w:val="18"/>
              </w:rPr>
              <w:t>　　（二）歌舞、游艺娱乐场所的服务区域；</w:t>
            </w:r>
          </w:p>
          <w:p>
            <w:pPr>
              <w:pStyle w:val="2"/>
              <w:keepNext w:val="0"/>
              <w:keepLines w:val="0"/>
              <w:widowControl/>
              <w:suppressLineNumbers w:val="0"/>
              <w:jc w:val="left"/>
            </w:pPr>
            <w:r>
              <w:rPr>
                <w:sz w:val="18"/>
                <w:szCs w:val="18"/>
              </w:rPr>
              <w:t>　　（三）商店（场）、超市、商品交易市场的营业区域；</w:t>
            </w:r>
          </w:p>
          <w:p>
            <w:pPr>
              <w:pStyle w:val="2"/>
              <w:keepNext w:val="0"/>
              <w:keepLines w:val="0"/>
              <w:widowControl/>
              <w:suppressLineNumbers w:val="0"/>
              <w:jc w:val="left"/>
            </w:pPr>
            <w:r>
              <w:rPr>
                <w:sz w:val="18"/>
                <w:szCs w:val="18"/>
              </w:rPr>
              <w:t>　　（四）录像厅、互联网上网服务营业场所的营业区域；</w:t>
            </w:r>
          </w:p>
          <w:p>
            <w:pPr>
              <w:pStyle w:val="2"/>
              <w:keepNext w:val="0"/>
              <w:keepLines w:val="0"/>
              <w:widowControl/>
              <w:suppressLineNumbers w:val="0"/>
              <w:jc w:val="left"/>
            </w:pPr>
            <w:r>
              <w:rPr>
                <w:sz w:val="18"/>
                <w:szCs w:val="18"/>
              </w:rPr>
              <w:t>　　（五）体育场馆及非经营性运动健身场所除观众区、比赛区或运动区以外的其他区域；</w:t>
            </w:r>
          </w:p>
          <w:p>
            <w:pPr>
              <w:pStyle w:val="2"/>
              <w:keepNext w:val="0"/>
              <w:keepLines w:val="0"/>
              <w:widowControl/>
              <w:suppressLineNumbers w:val="0"/>
              <w:jc w:val="left"/>
            </w:pPr>
            <w:r>
              <w:rPr>
                <w:sz w:val="18"/>
                <w:szCs w:val="18"/>
              </w:rPr>
              <w:t>　　（六）公共汽（电）车、出租车、轨道交通、船舶、飞机、火车等公共交通工具的等候区域或售票区域；</w:t>
            </w:r>
          </w:p>
          <w:p>
            <w:pPr>
              <w:pStyle w:val="2"/>
              <w:keepNext w:val="0"/>
              <w:keepLines w:val="0"/>
              <w:widowControl/>
              <w:suppressLineNumbers w:val="0"/>
              <w:jc w:val="left"/>
            </w:pPr>
            <w:r>
              <w:rPr>
                <w:sz w:val="18"/>
                <w:szCs w:val="18"/>
              </w:rPr>
              <w:t>　　（七）机关、社会团体、事业单位的办公室；</w:t>
            </w:r>
          </w:p>
          <w:p>
            <w:pPr>
              <w:pStyle w:val="2"/>
              <w:keepNext w:val="0"/>
              <w:keepLines w:val="0"/>
              <w:widowControl/>
              <w:suppressLineNumbers w:val="0"/>
              <w:jc w:val="left"/>
            </w:pPr>
            <w:r>
              <w:rPr>
                <w:sz w:val="18"/>
                <w:szCs w:val="18"/>
              </w:rPr>
              <w:t>　　（八）单位的办事大厅、营业厅、礼堂、食堂等场所，但第五条规定的禁止吸烟场所除外；</w:t>
            </w:r>
          </w:p>
          <w:p>
            <w:pPr>
              <w:pStyle w:val="2"/>
              <w:keepNext w:val="0"/>
              <w:keepLines w:val="0"/>
              <w:widowControl/>
              <w:suppressLineNumbers w:val="0"/>
              <w:jc w:val="left"/>
            </w:pPr>
            <w:r>
              <w:rPr>
                <w:sz w:val="18"/>
                <w:szCs w:val="18"/>
              </w:rPr>
              <w:t>　　（九）法律、法规、规章规定的其他控制吸烟场所。</w:t>
            </w:r>
          </w:p>
          <w:p>
            <w:pPr>
              <w:pStyle w:val="2"/>
              <w:keepNext w:val="0"/>
              <w:keepLines w:val="0"/>
              <w:widowControl/>
              <w:suppressLineNumbers w:val="0"/>
              <w:jc w:val="left"/>
            </w:pPr>
            <w:r>
              <w:rPr>
                <w:sz w:val="18"/>
                <w:szCs w:val="18"/>
              </w:rPr>
              <w:t>　　经营性住宿场所应当设置无烟楼层或者无烟客房。</w:t>
            </w:r>
          </w:p>
          <w:p>
            <w:pPr>
              <w:pStyle w:val="2"/>
              <w:keepNext w:val="0"/>
              <w:keepLines w:val="0"/>
              <w:widowControl/>
              <w:suppressLineNumbers w:val="0"/>
              <w:jc w:val="left"/>
            </w:pPr>
            <w:r>
              <w:rPr>
                <w:sz w:val="18"/>
                <w:szCs w:val="18"/>
              </w:rPr>
              <w:t>　　拥有五十个以上餐位的经营性餐饮场所和对社会开放的棋牌房应当设置无烟包厢。</w:t>
            </w:r>
          </w:p>
          <w:p>
            <w:pPr>
              <w:pStyle w:val="2"/>
              <w:keepNext w:val="0"/>
              <w:keepLines w:val="0"/>
              <w:widowControl/>
              <w:suppressLineNumbers w:val="0"/>
              <w:jc w:val="left"/>
            </w:pPr>
            <w:r>
              <w:rPr>
                <w:sz w:val="18"/>
                <w:szCs w:val="18"/>
              </w:rPr>
              <w:t>　　第七条 本条例第六条第一款规定的公共场所划定吸烟区或者设置专用吸烟室的，应当遵守下列规定：</w:t>
            </w:r>
          </w:p>
          <w:p>
            <w:pPr>
              <w:pStyle w:val="2"/>
              <w:keepNext w:val="0"/>
              <w:keepLines w:val="0"/>
              <w:widowControl/>
              <w:suppressLineNumbers w:val="0"/>
              <w:jc w:val="left"/>
            </w:pPr>
            <w:r>
              <w:rPr>
                <w:sz w:val="18"/>
                <w:szCs w:val="18"/>
              </w:rPr>
              <w:t>　　（一）具备独立的通向户外的通风设施；</w:t>
            </w:r>
          </w:p>
          <w:p>
            <w:pPr>
              <w:pStyle w:val="2"/>
              <w:keepNext w:val="0"/>
              <w:keepLines w:val="0"/>
              <w:widowControl/>
              <w:suppressLineNumbers w:val="0"/>
              <w:jc w:val="left"/>
            </w:pPr>
            <w:r>
              <w:rPr>
                <w:sz w:val="18"/>
                <w:szCs w:val="18"/>
              </w:rPr>
              <w:t>　　（二）与非吸烟区、非吸烟室有效隔离；</w:t>
            </w:r>
          </w:p>
          <w:p>
            <w:pPr>
              <w:pStyle w:val="2"/>
              <w:keepNext w:val="0"/>
              <w:keepLines w:val="0"/>
              <w:widowControl/>
              <w:suppressLineNumbers w:val="0"/>
              <w:jc w:val="left"/>
            </w:pPr>
            <w:r>
              <w:rPr>
                <w:sz w:val="18"/>
                <w:szCs w:val="18"/>
              </w:rPr>
              <w:t>　　（三）远离人群密集区域和行人必经的主要通道；</w:t>
            </w:r>
          </w:p>
          <w:p>
            <w:pPr>
              <w:pStyle w:val="2"/>
              <w:keepNext w:val="0"/>
              <w:keepLines w:val="0"/>
              <w:widowControl/>
              <w:suppressLineNumbers w:val="0"/>
              <w:jc w:val="left"/>
            </w:pPr>
            <w:r>
              <w:rPr>
                <w:sz w:val="18"/>
                <w:szCs w:val="18"/>
              </w:rPr>
              <w:t>　　（四）设置明显的标识；</w:t>
            </w:r>
          </w:p>
          <w:p>
            <w:pPr>
              <w:pStyle w:val="2"/>
              <w:keepNext w:val="0"/>
              <w:keepLines w:val="0"/>
              <w:widowControl/>
              <w:suppressLineNumbers w:val="0"/>
              <w:jc w:val="left"/>
            </w:pPr>
            <w:r>
              <w:rPr>
                <w:sz w:val="18"/>
                <w:szCs w:val="18"/>
              </w:rPr>
              <w:t>　　（五）按照卫生行政部门的要求设置统一的控制吸烟宣传标识。</w:t>
            </w:r>
          </w:p>
          <w:p>
            <w:pPr>
              <w:pStyle w:val="2"/>
              <w:keepNext w:val="0"/>
              <w:keepLines w:val="0"/>
              <w:widowControl/>
              <w:suppressLineNumbers w:val="0"/>
              <w:jc w:val="left"/>
            </w:pPr>
            <w:r>
              <w:rPr>
                <w:sz w:val="18"/>
                <w:szCs w:val="18"/>
              </w:rPr>
              <w:t>　　第八条 在本条例规定的禁止吸烟场所或者区域内，任何人不得吸烟或者携带燃烧的卷烟、雪茄烟或者烟斗。</w:t>
            </w:r>
          </w:p>
          <w:p>
            <w:pPr>
              <w:pStyle w:val="2"/>
              <w:keepNext w:val="0"/>
              <w:keepLines w:val="0"/>
              <w:widowControl/>
              <w:suppressLineNumbers w:val="0"/>
              <w:jc w:val="left"/>
            </w:pPr>
            <w:r>
              <w:rPr>
                <w:sz w:val="18"/>
                <w:szCs w:val="18"/>
              </w:rPr>
              <w:t>　　第九条 禁止吸烟场所和控制吸烟场所的经营者或管理者应当履行下列职责：</w:t>
            </w:r>
          </w:p>
          <w:p>
            <w:pPr>
              <w:pStyle w:val="2"/>
              <w:keepNext w:val="0"/>
              <w:keepLines w:val="0"/>
              <w:widowControl/>
              <w:suppressLineNumbers w:val="0"/>
              <w:jc w:val="left"/>
            </w:pPr>
            <w:r>
              <w:rPr>
                <w:sz w:val="18"/>
                <w:szCs w:val="18"/>
              </w:rPr>
              <w:t>　　（一）建立禁止吸烟或者控制吸烟的管理制度；</w:t>
            </w:r>
          </w:p>
          <w:p>
            <w:pPr>
              <w:pStyle w:val="2"/>
              <w:keepNext w:val="0"/>
              <w:keepLines w:val="0"/>
              <w:widowControl/>
              <w:suppressLineNumbers w:val="0"/>
              <w:jc w:val="left"/>
            </w:pPr>
            <w:r>
              <w:rPr>
                <w:sz w:val="18"/>
                <w:szCs w:val="18"/>
              </w:rPr>
              <w:t>　　（二）在本单位禁止吸烟场所或者区域设置明显的禁止吸烟标识；</w:t>
            </w:r>
          </w:p>
          <w:p>
            <w:pPr>
              <w:pStyle w:val="2"/>
              <w:keepNext w:val="0"/>
              <w:keepLines w:val="0"/>
              <w:widowControl/>
              <w:suppressLineNumbers w:val="0"/>
              <w:jc w:val="left"/>
            </w:pPr>
            <w:r>
              <w:rPr>
                <w:sz w:val="18"/>
                <w:szCs w:val="18"/>
              </w:rPr>
              <w:t>　　（三）不在本单位禁止吸烟场所或者区域内设置吸烟器具；</w:t>
            </w:r>
          </w:p>
          <w:p>
            <w:pPr>
              <w:pStyle w:val="2"/>
              <w:keepNext w:val="0"/>
              <w:keepLines w:val="0"/>
              <w:widowControl/>
              <w:suppressLineNumbers w:val="0"/>
              <w:jc w:val="left"/>
            </w:pPr>
            <w:r>
              <w:rPr>
                <w:sz w:val="18"/>
                <w:szCs w:val="18"/>
              </w:rPr>
              <w:t>　　（四）不在本单位设置附有烟草广告的标识和物品；</w:t>
            </w:r>
          </w:p>
          <w:p>
            <w:pPr>
              <w:pStyle w:val="2"/>
              <w:keepNext w:val="0"/>
              <w:keepLines w:val="0"/>
              <w:widowControl/>
              <w:suppressLineNumbers w:val="0"/>
              <w:jc w:val="left"/>
            </w:pPr>
            <w:r>
              <w:rPr>
                <w:sz w:val="18"/>
                <w:szCs w:val="18"/>
              </w:rPr>
              <w:t>　　（五）对在本单位禁止吸烟场所或者区域内的吸烟者，劝其停止吸烟或者离开该场所、区域；对不听劝阻者，报告卫生行政部门处理。</w:t>
            </w:r>
          </w:p>
          <w:p>
            <w:pPr>
              <w:pStyle w:val="2"/>
              <w:keepNext w:val="0"/>
              <w:keepLines w:val="0"/>
              <w:widowControl/>
              <w:suppressLineNumbers w:val="0"/>
              <w:jc w:val="left"/>
            </w:pPr>
            <w:r>
              <w:rPr>
                <w:sz w:val="18"/>
                <w:szCs w:val="18"/>
              </w:rPr>
              <w:t>　　第十条 划定吸烟区或者设置专用吸烟室的公共场所的经营者或管理者应当加强禁止吸烟的宣传，采取有效措施，逐步取消吸烟区或者专用吸烟室。</w:t>
            </w:r>
          </w:p>
          <w:p>
            <w:pPr>
              <w:pStyle w:val="2"/>
              <w:keepNext w:val="0"/>
              <w:keepLines w:val="0"/>
              <w:widowControl/>
              <w:suppressLineNumbers w:val="0"/>
              <w:jc w:val="left"/>
            </w:pPr>
            <w:r>
              <w:rPr>
                <w:sz w:val="18"/>
                <w:szCs w:val="18"/>
              </w:rPr>
              <w:t>　　鼓励创建无烟单位。</w:t>
            </w:r>
          </w:p>
          <w:p>
            <w:pPr>
              <w:pStyle w:val="2"/>
              <w:keepNext w:val="0"/>
              <w:keepLines w:val="0"/>
              <w:widowControl/>
              <w:suppressLineNumbers w:val="0"/>
              <w:jc w:val="left"/>
            </w:pPr>
            <w:r>
              <w:rPr>
                <w:sz w:val="18"/>
                <w:szCs w:val="18"/>
              </w:rPr>
              <w:t>　　第十一条 禁止吸烟场所或者区域内的任何人可以行使以下权利：</w:t>
            </w:r>
          </w:p>
          <w:p>
            <w:pPr>
              <w:pStyle w:val="2"/>
              <w:keepNext w:val="0"/>
              <w:keepLines w:val="0"/>
              <w:widowControl/>
              <w:suppressLineNumbers w:val="0"/>
              <w:jc w:val="left"/>
            </w:pPr>
            <w:r>
              <w:rPr>
                <w:sz w:val="18"/>
                <w:szCs w:val="18"/>
              </w:rPr>
              <w:t>　　（一）要求吸烟者立即停止吸烟；</w:t>
            </w:r>
          </w:p>
          <w:p>
            <w:pPr>
              <w:pStyle w:val="2"/>
              <w:keepNext w:val="0"/>
              <w:keepLines w:val="0"/>
              <w:widowControl/>
              <w:suppressLineNumbers w:val="0"/>
              <w:jc w:val="left"/>
            </w:pPr>
            <w:r>
              <w:rPr>
                <w:sz w:val="18"/>
                <w:szCs w:val="18"/>
              </w:rPr>
              <w:t>　　（二）要求该场所经营者或管理者劝阻吸烟者吸烟或者劝其离开该场所、区域；</w:t>
            </w:r>
          </w:p>
          <w:p>
            <w:pPr>
              <w:pStyle w:val="2"/>
              <w:keepNext w:val="0"/>
              <w:keepLines w:val="0"/>
              <w:widowControl/>
              <w:suppressLineNumbers w:val="0"/>
              <w:jc w:val="left"/>
            </w:pPr>
            <w:r>
              <w:rPr>
                <w:sz w:val="18"/>
                <w:szCs w:val="18"/>
              </w:rPr>
              <w:t>　　（三）向卫生行政部门举报违反本条例规定的行为。</w:t>
            </w:r>
          </w:p>
          <w:p>
            <w:pPr>
              <w:pStyle w:val="2"/>
              <w:keepNext w:val="0"/>
              <w:keepLines w:val="0"/>
              <w:widowControl/>
              <w:suppressLineNumbers w:val="0"/>
              <w:jc w:val="left"/>
            </w:pPr>
            <w:r>
              <w:rPr>
                <w:sz w:val="18"/>
                <w:szCs w:val="18"/>
              </w:rPr>
              <w:t>　　第十二条 禁止在公共场所设置烟草广告，禁止利用广播、电影、电视、网络、报纸、期刊等媒体发布烟草广告。</w:t>
            </w:r>
          </w:p>
          <w:p>
            <w:pPr>
              <w:pStyle w:val="2"/>
              <w:keepNext w:val="0"/>
              <w:keepLines w:val="0"/>
              <w:widowControl/>
              <w:suppressLineNumbers w:val="0"/>
              <w:jc w:val="left"/>
            </w:pPr>
            <w:r>
              <w:rPr>
                <w:sz w:val="18"/>
                <w:szCs w:val="18"/>
              </w:rPr>
              <w:t>　　第十三条 全社会都应当支持公共场所控制吸烟工作。</w:t>
            </w:r>
          </w:p>
          <w:p>
            <w:pPr>
              <w:pStyle w:val="2"/>
              <w:keepNext w:val="0"/>
              <w:keepLines w:val="0"/>
              <w:widowControl/>
              <w:suppressLineNumbers w:val="0"/>
              <w:jc w:val="left"/>
            </w:pPr>
            <w:r>
              <w:rPr>
                <w:sz w:val="18"/>
                <w:szCs w:val="18"/>
              </w:rPr>
              <w:t>　　公务员、医务工作者、教育工作者等应当积极参与公共场所控制吸烟工作。</w:t>
            </w:r>
          </w:p>
          <w:p>
            <w:pPr>
              <w:pStyle w:val="2"/>
              <w:keepNext w:val="0"/>
              <w:keepLines w:val="0"/>
              <w:widowControl/>
              <w:suppressLineNumbers w:val="0"/>
              <w:jc w:val="left"/>
            </w:pPr>
            <w:r>
              <w:rPr>
                <w:sz w:val="18"/>
                <w:szCs w:val="18"/>
              </w:rPr>
              <w:t>　　报纸、广播、电视、网络等媒体和卫生、工商、烟草专卖、教育、文化、广播影视、新闻出版、交通、旅游、体育、公安、城市管理等部门应当积极开展有关吸烟有害健康、控制吸烟的社会宣传。</w:t>
            </w:r>
          </w:p>
          <w:p>
            <w:pPr>
              <w:pStyle w:val="2"/>
              <w:keepNext w:val="0"/>
              <w:keepLines w:val="0"/>
              <w:widowControl/>
              <w:suppressLineNumbers w:val="0"/>
              <w:jc w:val="left"/>
            </w:pPr>
            <w:r>
              <w:rPr>
                <w:sz w:val="18"/>
                <w:szCs w:val="18"/>
              </w:rPr>
              <w:t>　　第十四条 机关、社会团体、企事业单位等可以根据实际情况，确定本条例规定以外的本单位工作、休息等场所为禁止吸烟区域，明确责任人，并做好相关管理工作。</w:t>
            </w:r>
          </w:p>
          <w:p>
            <w:pPr>
              <w:pStyle w:val="2"/>
              <w:keepNext w:val="0"/>
              <w:keepLines w:val="0"/>
              <w:widowControl/>
              <w:suppressLineNumbers w:val="0"/>
              <w:jc w:val="left"/>
            </w:pPr>
            <w:r>
              <w:rPr>
                <w:sz w:val="18"/>
                <w:szCs w:val="18"/>
              </w:rPr>
              <w:t>　　第十五条 机关、社会团体、企事业单位等应当在本单位内部设立控烟监督员，对在本单位禁止吸烟的公共场所吸烟的行为予以制止。</w:t>
            </w:r>
          </w:p>
          <w:p>
            <w:pPr>
              <w:pStyle w:val="2"/>
              <w:keepNext w:val="0"/>
              <w:keepLines w:val="0"/>
              <w:widowControl/>
              <w:suppressLineNumbers w:val="0"/>
              <w:jc w:val="left"/>
            </w:pPr>
            <w:r>
              <w:rPr>
                <w:sz w:val="18"/>
                <w:szCs w:val="18"/>
              </w:rPr>
              <w:t>　　第十六条 每年5月31日的“世界无烟日”，烟草制品经营者停止销售卷烟、雪茄烟和烟丝一天。</w:t>
            </w:r>
          </w:p>
          <w:p>
            <w:pPr>
              <w:pStyle w:val="2"/>
              <w:keepNext w:val="0"/>
              <w:keepLines w:val="0"/>
              <w:widowControl/>
              <w:suppressLineNumbers w:val="0"/>
              <w:jc w:val="left"/>
            </w:pPr>
            <w:r>
              <w:rPr>
                <w:sz w:val="18"/>
                <w:szCs w:val="18"/>
              </w:rPr>
              <w:t>　　鼓励吸烟者在“世界无烟日”停止吸烟一天。</w:t>
            </w:r>
          </w:p>
          <w:p>
            <w:pPr>
              <w:pStyle w:val="2"/>
              <w:keepNext w:val="0"/>
              <w:keepLines w:val="0"/>
              <w:widowControl/>
              <w:suppressLineNumbers w:val="0"/>
              <w:jc w:val="left"/>
            </w:pPr>
            <w:r>
              <w:rPr>
                <w:sz w:val="18"/>
                <w:szCs w:val="18"/>
              </w:rPr>
              <w:t>　　第十七条 禁止未成年人吸烟。</w:t>
            </w:r>
          </w:p>
          <w:p>
            <w:pPr>
              <w:pStyle w:val="2"/>
              <w:keepNext w:val="0"/>
              <w:keepLines w:val="0"/>
              <w:widowControl/>
              <w:suppressLineNumbers w:val="0"/>
              <w:jc w:val="left"/>
            </w:pPr>
            <w:r>
              <w:rPr>
                <w:sz w:val="18"/>
                <w:szCs w:val="18"/>
              </w:rPr>
              <w:t>　　禁止向未成年人出售卷烟、雪茄烟和烟丝。对难以判明是否已成年的，经营者应当要求其出示身份证件。</w:t>
            </w:r>
          </w:p>
          <w:p>
            <w:pPr>
              <w:pStyle w:val="2"/>
              <w:keepNext w:val="0"/>
              <w:keepLines w:val="0"/>
              <w:widowControl/>
              <w:suppressLineNumbers w:val="0"/>
              <w:jc w:val="left"/>
            </w:pPr>
            <w:r>
              <w:rPr>
                <w:sz w:val="18"/>
                <w:szCs w:val="18"/>
              </w:rPr>
              <w:t>　　经营者应当在营业场所显著位置设置不向未成年人出售卷烟、雪茄烟和烟丝的标志。</w:t>
            </w:r>
          </w:p>
          <w:p>
            <w:pPr>
              <w:pStyle w:val="2"/>
              <w:keepNext w:val="0"/>
              <w:keepLines w:val="0"/>
              <w:widowControl/>
              <w:suppressLineNumbers w:val="0"/>
              <w:jc w:val="left"/>
            </w:pPr>
            <w:r>
              <w:rPr>
                <w:sz w:val="18"/>
                <w:szCs w:val="18"/>
              </w:rPr>
              <w:t>　　第十八条 对违反本条例第八条规定的个人，由卫生行政部门责令其立即改正，拒不改正的，处以五十元的罚款。</w:t>
            </w:r>
          </w:p>
          <w:p>
            <w:pPr>
              <w:pStyle w:val="2"/>
              <w:keepNext w:val="0"/>
              <w:keepLines w:val="0"/>
              <w:widowControl/>
              <w:suppressLineNumbers w:val="0"/>
              <w:jc w:val="left"/>
            </w:pPr>
            <w:r>
              <w:rPr>
                <w:sz w:val="18"/>
                <w:szCs w:val="18"/>
              </w:rPr>
              <w:t>　　第十九条 对违反本条例的公共场所经营者或管理者，由卫生行政部门按下列规定予以处罚：</w:t>
            </w:r>
          </w:p>
          <w:p>
            <w:pPr>
              <w:pStyle w:val="2"/>
              <w:keepNext w:val="0"/>
              <w:keepLines w:val="0"/>
              <w:widowControl/>
              <w:suppressLineNumbers w:val="0"/>
              <w:jc w:val="left"/>
            </w:pPr>
            <w:r>
              <w:rPr>
                <w:sz w:val="18"/>
                <w:szCs w:val="18"/>
              </w:rPr>
              <w:t>　　（一）违反本条例第七条第（一）、（二）、（三）项或者第九条第（三)、（四）项规定的，处以警告，并责令其限期改正，逾期不改正的，处以五百元以上二千元以下的罚款；</w:t>
            </w:r>
          </w:p>
          <w:p>
            <w:pPr>
              <w:pStyle w:val="2"/>
              <w:keepNext w:val="0"/>
              <w:keepLines w:val="0"/>
              <w:widowControl/>
              <w:suppressLineNumbers w:val="0"/>
              <w:jc w:val="left"/>
            </w:pPr>
            <w:r>
              <w:rPr>
                <w:sz w:val="18"/>
                <w:szCs w:val="18"/>
              </w:rPr>
              <w:t>　　（二）违反本条例第七条第（四）、（五）项或者第九条第（一）、（二）项规定的，处以警告，并责令其限期改正，逾期不改正的，处以五百元的罚款；</w:t>
            </w:r>
          </w:p>
          <w:p>
            <w:pPr>
              <w:pStyle w:val="2"/>
              <w:keepNext w:val="0"/>
              <w:keepLines w:val="0"/>
              <w:widowControl/>
              <w:suppressLineNumbers w:val="0"/>
              <w:jc w:val="left"/>
            </w:pPr>
            <w:r>
              <w:rPr>
                <w:sz w:val="18"/>
                <w:szCs w:val="18"/>
              </w:rPr>
              <w:t>　　（三）违反本条例第九条第（五）项规定的，处以警告，并可处以五百元以上二千元以下的罚款。</w:t>
            </w:r>
          </w:p>
          <w:p>
            <w:pPr>
              <w:pStyle w:val="2"/>
              <w:keepNext w:val="0"/>
              <w:keepLines w:val="0"/>
              <w:widowControl/>
              <w:suppressLineNumbers w:val="0"/>
              <w:jc w:val="left"/>
            </w:pPr>
            <w:r>
              <w:rPr>
                <w:sz w:val="18"/>
                <w:szCs w:val="18"/>
              </w:rPr>
              <w:t>　　第二十条 对违反本条例第十六条第一款、第十七条第二款、第三款规定的经营者，由卫生行政部门责令其改正，并可处以五百元以上二千元以下的罚款。</w:t>
            </w:r>
          </w:p>
          <w:p>
            <w:pPr>
              <w:pStyle w:val="2"/>
              <w:keepNext w:val="0"/>
              <w:keepLines w:val="0"/>
              <w:widowControl/>
              <w:suppressLineNumbers w:val="0"/>
              <w:jc w:val="left"/>
            </w:pPr>
            <w:r>
              <w:rPr>
                <w:sz w:val="18"/>
                <w:szCs w:val="18"/>
              </w:rPr>
              <w:t>　　对违反本条例第十七条第一款的未成年人，由其所在的学校或卫生行政管理部门向该未成年人的监护人进行通报，予以教育。</w:t>
            </w:r>
          </w:p>
          <w:p>
            <w:pPr>
              <w:pStyle w:val="2"/>
              <w:keepNext w:val="0"/>
              <w:keepLines w:val="0"/>
              <w:widowControl/>
              <w:suppressLineNumbers w:val="0"/>
              <w:jc w:val="left"/>
            </w:pPr>
            <w:r>
              <w:rPr>
                <w:sz w:val="18"/>
                <w:szCs w:val="18"/>
              </w:rPr>
              <w:t>　　第二十一条 卫生行政部门可以委托符合《中华人民共和国行政处罚法》规定条件的组织实施本条例规定的行政处罚。</w:t>
            </w:r>
          </w:p>
          <w:p>
            <w:pPr>
              <w:pStyle w:val="2"/>
              <w:keepNext w:val="0"/>
              <w:keepLines w:val="0"/>
              <w:widowControl/>
              <w:suppressLineNumbers w:val="0"/>
              <w:jc w:val="left"/>
            </w:pPr>
            <w:r>
              <w:rPr>
                <w:sz w:val="18"/>
                <w:szCs w:val="18"/>
              </w:rPr>
              <w:t>　　第二十二条 对违反本条例规定的行为，其他法律、法规已有规定的，由相关部门依照有关法律、法规予以处罚。</w:t>
            </w:r>
          </w:p>
          <w:p>
            <w:pPr>
              <w:pStyle w:val="2"/>
              <w:keepNext w:val="0"/>
              <w:keepLines w:val="0"/>
              <w:widowControl/>
              <w:suppressLineNumbers w:val="0"/>
              <w:jc w:val="left"/>
            </w:pPr>
            <w:r>
              <w:rPr>
                <w:sz w:val="18"/>
                <w:szCs w:val="18"/>
              </w:rPr>
              <w:t>　　第二十三条 对拒绝、阻碍有关执法人员或者管理人员依法执行职务的，由公安机关按照《中华人民共和国治安管理处罚法》处理；构成犯罪的，依法追究其刑事责任。</w:t>
            </w:r>
          </w:p>
          <w:p>
            <w:pPr>
              <w:pStyle w:val="2"/>
              <w:keepNext w:val="0"/>
              <w:keepLines w:val="0"/>
              <w:widowControl/>
              <w:suppressLineNumbers w:val="0"/>
              <w:jc w:val="left"/>
            </w:pPr>
            <w:r>
              <w:rPr>
                <w:sz w:val="18"/>
                <w:szCs w:val="18"/>
              </w:rPr>
              <w:t>　　第二十四条 卫生行政部门工作人员和其他部门工作人员应当切实履行控制吸烟监督管理职责，滥用职权、徇私舞弊或者玩忽职守的，由有关部门依法给予行政处分；构成犯罪的，依法追究其刑事责任。</w:t>
            </w:r>
          </w:p>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　　第二十五条 本条例自2010年3月1日起施行。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5C0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 10</dc:creator>
  <cp:lastModifiedBy>win 10</cp:lastModifiedBy>
  <dcterms:modified xsi:type="dcterms:W3CDTF">2018-08-27T00:46:10Z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