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考生属性与考试科目之间关系的说明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2268"/>
        <w:gridCol w:w="1701"/>
        <w:gridCol w:w="1134"/>
        <w:gridCol w:w="992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属性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考试类型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文化科（统考）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术科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（统考）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必考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科目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首选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科目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再选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科目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普通类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（物理）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普通统考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语文、数学、外语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物理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四选二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普通类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（历史）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普通统考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语文、数学、外语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历史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四选二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体育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普通统考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语文、数学、外语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物理或历史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四选二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体育术科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艺术术科校考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艺术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普通统考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语文、数学、外语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物理或历史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四选二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音乐，美术，书法，舞蹈，广播电视编导术科统考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艺术术科校考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单考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  <w:szCs w:val="24"/>
              </w:rPr>
              <w:t>保送，运动训练、武术与民族传统体育，职教师资，残疾障碍，高水平运动员（单招），高职自主招生、中高职衔接三二分段、依学考成绩录取、五年一贯制等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无（注：若单考单招考生需兼报其他科类考试，请使用相应考生属性的考生号）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退役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士兵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3+证书统考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语文（3+证书），数学（3+证书），英语（3+证书）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所有证书(含退役士兵)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3+证书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3+证书统考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语文（3+证书），数学（3+证书），英语（3+证书）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所有证书(不含退役士兵)</w:t>
            </w:r>
          </w:p>
        </w:tc>
      </w:tr>
    </w:tbl>
    <w:p>
      <w:pPr>
        <w:spacing w:line="560" w:lineRule="exact"/>
        <w:ind w:left="480" w:hanging="480" w:hangingChars="2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2098" w:right="1474" w:bottom="1985" w:left="1588" w:header="720" w:footer="720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</w:rPr>
        <w:t>注：四选二指从高中学业水平选择考思想政治、地理、化学、生物学4门科目中选</w:t>
      </w:r>
      <w:r>
        <w:rPr>
          <w:rFonts w:hint="eastAsia" w:ascii="仿宋" w:hAnsi="仿宋" w:eastAsia="仿宋"/>
          <w:sz w:val="24"/>
          <w:szCs w:val="24"/>
          <w:lang w:eastAsia="zh-CN"/>
        </w:rPr>
        <w:t>考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2门</w:t>
      </w:r>
    </w:p>
    <w:p>
      <w:pPr>
        <w:tabs>
          <w:tab w:val="left" w:pos="1963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0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bendibao2</dc:creator>
  <cp:lastModifiedBy>bendibao2</cp:lastModifiedBy>
  <dcterms:modified xsi:type="dcterms:W3CDTF">2021-10-14T09:22:33Z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7F3524CBCA30457692756DB3E0B5B83E</vt:lpwstr>
  </property>
</Properties>
</file>