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275" w:right="0" w:firstLine="480"/>
        <w:jc w:val="left"/>
        <w:rPr>
          <w:rFonts w:ascii="Arial" w:hAnsi="Arial" w:cs="Arial"/>
          <w:i w:val="0"/>
          <w:caps w:val="0"/>
          <w:color w:val="111111"/>
          <w:spacing w:val="0"/>
          <w:sz w:val="24"/>
          <w:szCs w:val="24"/>
        </w:rPr>
      </w:pPr>
      <w:r>
        <w:rPr>
          <w:rFonts w:hint="default" w:ascii="Arial" w:hAnsi="Arial" w:cs="Arial"/>
          <w:i w:val="0"/>
          <w:caps w:val="0"/>
          <w:color w:val="111111"/>
          <w:spacing w:val="0"/>
          <w:sz w:val="24"/>
          <w:szCs w:val="24"/>
          <w:bdr w:val="none" w:color="auto" w:sz="0" w:space="0"/>
          <w:shd w:val="clear" w:fill="FFFFFF"/>
        </w:rPr>
        <w:t> </w:t>
      </w:r>
      <w:bookmarkStart w:id="0" w:name="_GoBack"/>
      <w:bookmarkEnd w:id="0"/>
    </w:p>
    <w:tbl>
      <w:tblPr>
        <w:tblW w:w="9297" w:type="dxa"/>
        <w:tblInd w:w="93" w:type="dxa"/>
        <w:shd w:val="clear" w:color="auto" w:fill="FFFFFF"/>
        <w:tblLayout w:type="autofit"/>
        <w:tblCellMar>
          <w:top w:w="0" w:type="dxa"/>
          <w:left w:w="0" w:type="dxa"/>
          <w:bottom w:w="0" w:type="dxa"/>
          <w:right w:w="0" w:type="dxa"/>
        </w:tblCellMar>
      </w:tblPr>
      <w:tblGrid>
        <w:gridCol w:w="548"/>
        <w:gridCol w:w="636"/>
        <w:gridCol w:w="2338"/>
        <w:gridCol w:w="1717"/>
        <w:gridCol w:w="475"/>
        <w:gridCol w:w="2448"/>
        <w:gridCol w:w="1187"/>
      </w:tblGrid>
      <w:tr>
        <w:tblPrEx>
          <w:shd w:val="clear" w:color="auto" w:fill="FFFFFF"/>
          <w:tblCellMar>
            <w:top w:w="0" w:type="dxa"/>
            <w:left w:w="0" w:type="dxa"/>
            <w:bottom w:w="0" w:type="dxa"/>
            <w:right w:w="0" w:type="dxa"/>
          </w:tblCellMar>
        </w:tblPrEx>
        <w:trPr>
          <w:trHeight w:val="575" w:hRule="atLeast"/>
        </w:trPr>
        <w:tc>
          <w:tcPr>
            <w:tcW w:w="1132" w:type="dxa"/>
            <w:gridSpan w:val="2"/>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附表</w:t>
            </w:r>
          </w:p>
        </w:tc>
        <w:tc>
          <w:tcPr>
            <w:tcW w:w="233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717"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475"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44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187"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r>
      <w:tr>
        <w:tblPrEx>
          <w:tblCellMar>
            <w:top w:w="0" w:type="dxa"/>
            <w:left w:w="0" w:type="dxa"/>
            <w:bottom w:w="0" w:type="dxa"/>
            <w:right w:w="0" w:type="dxa"/>
          </w:tblCellMar>
        </w:tblPrEx>
        <w:trPr>
          <w:trHeight w:val="742" w:hRule="atLeast"/>
        </w:trPr>
        <w:tc>
          <w:tcPr>
            <w:tcW w:w="9297" w:type="dxa"/>
            <w:gridSpan w:val="7"/>
            <w:tcBorders>
              <w:top w:val="nil"/>
              <w:left w:val="nil"/>
              <w:bottom w:val="single" w:color="000000" w:sz="8" w:space="0"/>
              <w:right w:val="nil"/>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44"/>
                <w:szCs w:val="44"/>
                <w:bdr w:val="none" w:color="auto" w:sz="0" w:space="0"/>
              </w:rPr>
              <w:t>茂名市农民工积分入户指标及分值表</w:t>
            </w:r>
          </w:p>
        </w:tc>
      </w:tr>
      <w:tr>
        <w:tblPrEx>
          <w:tblCellMar>
            <w:top w:w="0" w:type="dxa"/>
            <w:left w:w="0" w:type="dxa"/>
            <w:bottom w:w="0" w:type="dxa"/>
            <w:right w:w="0" w:type="dxa"/>
          </w:tblCellMar>
        </w:tblPrEx>
        <w:trPr>
          <w:trHeight w:val="2232" w:hRule="atLeast"/>
        </w:trPr>
        <w:tc>
          <w:tcPr>
            <w:tcW w:w="54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一级指标</w:t>
            </w: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二级指标</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三级指标</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指标分值</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方向</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实施说明</w:t>
            </w:r>
          </w:p>
        </w:tc>
        <w:tc>
          <w:tcPr>
            <w:tcW w:w="11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备注</w:t>
            </w:r>
          </w:p>
        </w:tc>
      </w:tr>
      <w:tr>
        <w:tblPrEx>
          <w:tblCellMar>
            <w:top w:w="0" w:type="dxa"/>
            <w:left w:w="0" w:type="dxa"/>
            <w:bottom w:w="0" w:type="dxa"/>
            <w:right w:w="0" w:type="dxa"/>
          </w:tblCellMar>
        </w:tblPrEx>
        <w:trPr>
          <w:trHeight w:val="681" w:hRule="atLeast"/>
        </w:trPr>
        <w:tc>
          <w:tcPr>
            <w:tcW w:w="54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个人素质</w:t>
            </w: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年龄情况</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18-35周岁</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5分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以申请时年龄为准</w:t>
            </w:r>
          </w:p>
        </w:tc>
        <w:tc>
          <w:tcPr>
            <w:tcW w:w="118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各项指标不累计</w:t>
            </w:r>
          </w:p>
        </w:tc>
      </w:tr>
      <w:tr>
        <w:tblPrEx>
          <w:tblCellMar>
            <w:top w:w="0" w:type="dxa"/>
            <w:left w:w="0" w:type="dxa"/>
            <w:bottom w:w="0" w:type="dxa"/>
            <w:right w:w="0" w:type="dxa"/>
          </w:tblCellMar>
        </w:tblPrEx>
        <w:trPr>
          <w:trHeight w:val="681"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36-45周岁</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3分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以申请时年龄为准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19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男46-60周岁，女46-50周岁</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1分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以申请时年龄为准。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681"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restart"/>
            <w:tcBorders>
              <w:top w:val="nil"/>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文化程度</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初中</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5分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按就高不就低原则计分。由申请人提供学历证书原件，经验证后得分。初中以下文化程度的此项不积分。</w:t>
            </w:r>
          </w:p>
        </w:tc>
        <w:tc>
          <w:tcPr>
            <w:tcW w:w="118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各项指标不累计加分。</w:t>
            </w:r>
          </w:p>
        </w:tc>
      </w:tr>
      <w:tr>
        <w:tblPrEx>
          <w:tblCellMar>
            <w:top w:w="0" w:type="dxa"/>
            <w:left w:w="0" w:type="dxa"/>
            <w:bottom w:w="0" w:type="dxa"/>
            <w:right w:w="0" w:type="dxa"/>
          </w:tblCellMar>
        </w:tblPrEx>
        <w:trPr>
          <w:trHeight w:val="681"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nil"/>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高中(中专、中技或中职)</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20分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19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nil"/>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大专和高级技工学校毕业生</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19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nil"/>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本科及以上和技师学院毕业生</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80分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2750"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tcBorders>
              <w:top w:val="single" w:color="000000" w:sz="8" w:space="0"/>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职业培训</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取得相应培训合格证明或单项职业能力证明</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30分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每参加一工种（专业）培训积10分，最高不超过30分。</w:t>
            </w:r>
          </w:p>
        </w:tc>
        <w:tc>
          <w:tcPr>
            <w:tcW w:w="1187" w:type="dxa"/>
            <w:tcBorders>
              <w:top w:val="nil"/>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经人力资源和社会保障部门认定的定点职业培训机构。</w:t>
            </w:r>
          </w:p>
        </w:tc>
      </w:tr>
      <w:tr>
        <w:tblPrEx>
          <w:tblCellMar>
            <w:top w:w="0" w:type="dxa"/>
            <w:left w:w="0" w:type="dxa"/>
            <w:bottom w:w="0" w:type="dxa"/>
            <w:right w:w="0" w:type="dxa"/>
          </w:tblCellMar>
        </w:tblPrEx>
        <w:trPr>
          <w:trHeight w:val="1160"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职业资格(专业技术职称)</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初级工、事业单位工勤技术工岗位五级</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按就高不就低原则计分。由本人提供相关证书，经验证后得分。</w:t>
            </w:r>
          </w:p>
        </w:tc>
        <w:tc>
          <w:tcPr>
            <w:tcW w:w="1187"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各指标不累计。</w:t>
            </w:r>
          </w:p>
        </w:tc>
      </w:tr>
      <w:tr>
        <w:tblPrEx>
          <w:tblCellMar>
            <w:top w:w="0" w:type="dxa"/>
            <w:left w:w="0" w:type="dxa"/>
            <w:bottom w:w="0" w:type="dxa"/>
            <w:right w:w="0" w:type="dxa"/>
          </w:tblCellMar>
        </w:tblPrEx>
        <w:trPr>
          <w:trHeight w:val="1160"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中级工、事业单位工勤技术工岗位四级</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30分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160"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高级工、事业单位工勤技术工岗位三级、初级职称</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50分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65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技师级以上、事业单位工勤技术工岗位二级及以上、中级职称及以上</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661" w:hRule="atLeast"/>
        </w:trPr>
        <w:tc>
          <w:tcPr>
            <w:tcW w:w="54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584"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33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717"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475"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44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187"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r>
      <w:tr>
        <w:tblPrEx>
          <w:tblCellMar>
            <w:top w:w="0" w:type="dxa"/>
            <w:left w:w="0" w:type="dxa"/>
            <w:bottom w:w="0" w:type="dxa"/>
            <w:right w:w="0" w:type="dxa"/>
          </w:tblCellMar>
        </w:tblPrEx>
        <w:trPr>
          <w:trHeight w:val="1888" w:hRule="atLeast"/>
        </w:trPr>
        <w:tc>
          <w:tcPr>
            <w:tcW w:w="5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一级指标</w:t>
            </w:r>
          </w:p>
        </w:tc>
        <w:tc>
          <w:tcPr>
            <w:tcW w:w="584"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二级指标</w:t>
            </w:r>
          </w:p>
        </w:tc>
        <w:tc>
          <w:tcPr>
            <w:tcW w:w="233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三级指标</w:t>
            </w:r>
          </w:p>
        </w:tc>
        <w:tc>
          <w:tcPr>
            <w:tcW w:w="171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指标分值</w:t>
            </w:r>
          </w:p>
        </w:tc>
        <w:tc>
          <w:tcPr>
            <w:tcW w:w="475"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方向</w:t>
            </w:r>
          </w:p>
        </w:tc>
        <w:tc>
          <w:tcPr>
            <w:tcW w:w="2448"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实施说明</w:t>
            </w:r>
          </w:p>
        </w:tc>
        <w:tc>
          <w:tcPr>
            <w:tcW w:w="1187"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备注</w:t>
            </w:r>
          </w:p>
        </w:tc>
      </w:tr>
      <w:tr>
        <w:tblPrEx>
          <w:tblCellMar>
            <w:top w:w="0" w:type="dxa"/>
            <w:left w:w="0" w:type="dxa"/>
            <w:bottom w:w="0" w:type="dxa"/>
            <w:right w:w="0" w:type="dxa"/>
          </w:tblCellMar>
        </w:tblPrEx>
        <w:trPr>
          <w:trHeight w:val="3152" w:hRule="atLeast"/>
        </w:trPr>
        <w:tc>
          <w:tcPr>
            <w:tcW w:w="54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个人素质</w:t>
            </w: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技能竞赛</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在国家级一、二类职业技能竞赛中获奖，或在广东省、茂名市人力资源保障部门举办或其与有关行业联合举办的职业技能竞赛中获奖(近5年内)</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由本人提供荣誉证书，经验证后得分。</w:t>
            </w:r>
          </w:p>
        </w:tc>
        <w:tc>
          <w:tcPr>
            <w:tcW w:w="118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各项指标可累计加分。</w:t>
            </w:r>
          </w:p>
        </w:tc>
      </w:tr>
      <w:tr>
        <w:tblPrEx>
          <w:tblCellMar>
            <w:top w:w="0" w:type="dxa"/>
            <w:left w:w="0" w:type="dxa"/>
            <w:bottom w:w="0" w:type="dxa"/>
            <w:right w:w="0" w:type="dxa"/>
          </w:tblCellMar>
        </w:tblPrEx>
        <w:trPr>
          <w:trHeight w:val="1160"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发明创造</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荣获国家专利、发明或专有技术成果</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2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由本人提供国家专利证书，经验证后得分。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169"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表彰荣誉</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获得镇（街）党委、政府或县（市、区）部门表彰、嘉奖或授予荣誉称号</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每次积20分，最高不超过60分。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由本人提供荣誉证书，经验证后得分。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42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获得县（市、区）级党委、政府或处级部门表彰、嘉奖或授予荣誉称号</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每次积30分，最高不超过60分。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42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获地级以上市党委、政府或厅级以上部门表彰、嘉奖或授予荣誉称号</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每次积60分，最高不超过120分。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　</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428" w:hRule="atLeast"/>
        </w:trPr>
        <w:tc>
          <w:tcPr>
            <w:tcW w:w="54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居住情况</w:t>
            </w: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在茂居住时间</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持茂名市核发《广东省居住证》年限</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每满1年积1分，总分最高不超过10分。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以取得茂名市核发《广东省居住证》时间计算，持暂住证时间不计算。</w:t>
            </w:r>
          </w:p>
        </w:tc>
        <w:tc>
          <w:tcPr>
            <w:tcW w:w="118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在茂居住条件和在茂居住时间指标只能任选其中一类进行积分，不叠加积分。</w:t>
            </w:r>
          </w:p>
        </w:tc>
      </w:tr>
      <w:tr>
        <w:tblPrEx>
          <w:tblCellMar>
            <w:top w:w="0" w:type="dxa"/>
            <w:left w:w="0" w:type="dxa"/>
            <w:bottom w:w="0" w:type="dxa"/>
            <w:right w:w="0" w:type="dxa"/>
          </w:tblCellMar>
        </w:tblPrEx>
        <w:trPr>
          <w:trHeight w:val="1686"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在茂居住条件</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在茂拥有合法产权住房</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20分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由本人提供当地房地产权证书，经验证后得分。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3535" w:hRule="atLeast"/>
        </w:trPr>
        <w:tc>
          <w:tcPr>
            <w:tcW w:w="548" w:type="dxa"/>
            <w:tcBorders>
              <w:top w:val="nil"/>
              <w:left w:val="single" w:color="000000" w:sz="8" w:space="0"/>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参保情况</w:t>
            </w:r>
          </w:p>
        </w:tc>
        <w:tc>
          <w:tcPr>
            <w:tcW w:w="584"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参加社会保险情况</w:t>
            </w:r>
          </w:p>
        </w:tc>
        <w:tc>
          <w:tcPr>
            <w:tcW w:w="2338"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缴纳社会保险费年限</w:t>
            </w:r>
          </w:p>
        </w:tc>
        <w:tc>
          <w:tcPr>
            <w:tcW w:w="1717"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参加城镇基本养老保险、城镇基本医疗保险、失业保险、工伤保险、生育保险，每个险种每满一年积1分。总分最高不超过超过50分。</w:t>
            </w:r>
          </w:p>
        </w:tc>
        <w:tc>
          <w:tcPr>
            <w:tcW w:w="475"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由申请人提供社保部门出具的证明，经验证后得分。</w:t>
            </w:r>
          </w:p>
        </w:tc>
        <w:tc>
          <w:tcPr>
            <w:tcW w:w="1187"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由本人提供社保经办机构或地税部门出具的证明。</w:t>
            </w:r>
          </w:p>
        </w:tc>
      </w:tr>
      <w:tr>
        <w:tblPrEx>
          <w:tblCellMar>
            <w:top w:w="0" w:type="dxa"/>
            <w:left w:w="0" w:type="dxa"/>
            <w:bottom w:w="0" w:type="dxa"/>
            <w:right w:w="0" w:type="dxa"/>
          </w:tblCellMar>
        </w:tblPrEx>
        <w:trPr>
          <w:trHeight w:val="594" w:hRule="atLeast"/>
        </w:trPr>
        <w:tc>
          <w:tcPr>
            <w:tcW w:w="548"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584"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338" w:type="dxa"/>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717"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475"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448"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187"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r>
      <w:tr>
        <w:tblPrEx>
          <w:tblCellMar>
            <w:top w:w="0" w:type="dxa"/>
            <w:left w:w="0" w:type="dxa"/>
            <w:bottom w:w="0" w:type="dxa"/>
            <w:right w:w="0" w:type="dxa"/>
          </w:tblCellMar>
        </w:tblPrEx>
        <w:trPr>
          <w:trHeight w:val="575" w:hRule="atLeast"/>
        </w:trPr>
        <w:tc>
          <w:tcPr>
            <w:tcW w:w="548"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584"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338" w:type="dxa"/>
            <w:tcBorders>
              <w:top w:val="nil"/>
              <w:left w:val="nil"/>
              <w:bottom w:val="single" w:color="auto" w:sz="8" w:space="0"/>
              <w:right w:val="nil"/>
            </w:tcBorders>
            <w:shd w:val="clear" w:color="auto" w:fill="FFFFFF"/>
            <w:noWrap/>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717"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475"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2448"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c>
          <w:tcPr>
            <w:tcW w:w="1187" w:type="dxa"/>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left"/>
              <w:rPr>
                <w:b w:val="0"/>
                <w:color w:val="111111"/>
                <w:sz w:val="24"/>
                <w:szCs w:val="24"/>
              </w:rPr>
            </w:pPr>
            <w:r>
              <w:rPr>
                <w:rFonts w:hint="default" w:ascii="Arial" w:hAnsi="Arial" w:cs="Arial"/>
                <w:b w:val="0"/>
                <w:i w:val="0"/>
                <w:caps w:val="0"/>
                <w:color w:val="111111"/>
                <w:spacing w:val="0"/>
                <w:sz w:val="24"/>
                <w:szCs w:val="24"/>
                <w:bdr w:val="none" w:color="auto" w:sz="0" w:space="0"/>
              </w:rPr>
              <w:t> </w:t>
            </w:r>
          </w:p>
        </w:tc>
      </w:tr>
      <w:tr>
        <w:tblPrEx>
          <w:tblCellMar>
            <w:top w:w="0" w:type="dxa"/>
            <w:left w:w="0" w:type="dxa"/>
            <w:bottom w:w="0" w:type="dxa"/>
            <w:right w:w="0" w:type="dxa"/>
          </w:tblCellMar>
        </w:tblPrEx>
        <w:trPr>
          <w:trHeight w:val="1389" w:hRule="atLeast"/>
        </w:trPr>
        <w:tc>
          <w:tcPr>
            <w:tcW w:w="548"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2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一级指标</w:t>
            </w:r>
          </w:p>
        </w:tc>
        <w:tc>
          <w:tcPr>
            <w:tcW w:w="584"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二级指标</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三级指标</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指标分值</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方向</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实施说明</w:t>
            </w:r>
          </w:p>
        </w:tc>
        <w:tc>
          <w:tcPr>
            <w:tcW w:w="118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4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备注</w:t>
            </w:r>
          </w:p>
        </w:tc>
      </w:tr>
      <w:tr>
        <w:tblPrEx>
          <w:tblCellMar>
            <w:top w:w="0" w:type="dxa"/>
            <w:left w:w="0" w:type="dxa"/>
            <w:bottom w:w="0" w:type="dxa"/>
            <w:right w:w="0" w:type="dxa"/>
          </w:tblCellMar>
        </w:tblPrEx>
        <w:trPr>
          <w:trHeight w:val="1025" w:hRule="atLeast"/>
        </w:trPr>
        <w:tc>
          <w:tcPr>
            <w:tcW w:w="54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奖励加分</w:t>
            </w: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社会服务（近5年内）</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参加无偿献血</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每次2分，最高不超过10分。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由本人提供献血证明，经验证后得分。</w:t>
            </w:r>
          </w:p>
        </w:tc>
        <w:tc>
          <w:tcPr>
            <w:tcW w:w="1187"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各项指标可累计。</w:t>
            </w:r>
          </w:p>
        </w:tc>
      </w:tr>
      <w:tr>
        <w:tblPrEx>
          <w:tblCellMar>
            <w:top w:w="0" w:type="dxa"/>
            <w:left w:w="0" w:type="dxa"/>
            <w:bottom w:w="0" w:type="dxa"/>
            <w:right w:w="0" w:type="dxa"/>
          </w:tblCellMar>
        </w:tblPrEx>
        <w:trPr>
          <w:trHeight w:val="1456"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参加义工、青年志愿者服务</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服务每满50小时积2分，最高不超过10分。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由本人提供志愿者机构提供的相应证明，经验证后得分。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456"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慈善捐赠，接受捐赠的单位必须是政府认定的慈善组织</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每千元积2分，最高不超过10分。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由本人提供捐赠证明，经验证后得分。</w:t>
            </w:r>
          </w:p>
        </w:tc>
        <w:tc>
          <w:tcPr>
            <w:tcW w:w="1187"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456"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入户城镇</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入户县级城区</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5分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申请入户茂港区、高州市、化州市、信宜市和电白县城区的。</w:t>
            </w:r>
          </w:p>
        </w:tc>
        <w:tc>
          <w:tcPr>
            <w:tcW w:w="11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　</w:t>
            </w:r>
          </w:p>
        </w:tc>
      </w:tr>
      <w:tr>
        <w:tblPrEx>
          <w:tblCellMar>
            <w:top w:w="0" w:type="dxa"/>
            <w:left w:w="0" w:type="dxa"/>
            <w:bottom w:w="0" w:type="dxa"/>
            <w:right w:w="0" w:type="dxa"/>
          </w:tblCellMar>
        </w:tblPrEx>
        <w:trPr>
          <w:trHeight w:val="868"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入户镇</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10分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正</w:t>
            </w:r>
          </w:p>
        </w:tc>
        <w:tc>
          <w:tcPr>
            <w:tcW w:w="2448" w:type="dxa"/>
            <w:tcBorders>
              <w:top w:val="single" w:color="000000" w:sz="8" w:space="0"/>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入户镇的（含茂南区各镇）</w:t>
            </w:r>
          </w:p>
        </w:tc>
        <w:tc>
          <w:tcPr>
            <w:tcW w:w="1187" w:type="dxa"/>
            <w:tcBorders>
              <w:top w:val="nil"/>
              <w:left w:val="nil"/>
              <w:bottom w:val="nil"/>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　</w:t>
            </w:r>
          </w:p>
        </w:tc>
      </w:tr>
      <w:tr>
        <w:tblPrEx>
          <w:tblCellMar>
            <w:top w:w="0" w:type="dxa"/>
            <w:left w:w="0" w:type="dxa"/>
            <w:bottom w:w="0" w:type="dxa"/>
            <w:right w:w="0" w:type="dxa"/>
          </w:tblCellMar>
        </w:tblPrEx>
        <w:trPr>
          <w:trHeight w:val="3612" w:hRule="atLeast"/>
        </w:trPr>
        <w:tc>
          <w:tcPr>
            <w:tcW w:w="548" w:type="dxa"/>
            <w:vMerge w:val="restart"/>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减分指标</w:t>
            </w: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违反计划生育政策</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超生</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有超生行为的人员，自做出处理决定之日起5年内不得申请入户；期限届满后，超生1个子女的扣100分，再超生的加倍扣分。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负</w:t>
            </w:r>
          </w:p>
        </w:tc>
        <w:tc>
          <w:tcPr>
            <w:tcW w:w="2448"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由本人提供户籍地计生部门出具的证明材料，并经工作居住地的街道或居委部门验证。</w:t>
            </w:r>
          </w:p>
        </w:tc>
        <w:tc>
          <w:tcPr>
            <w:tcW w:w="1187"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减分指标所有项目扣分均需累计。</w:t>
            </w:r>
          </w:p>
        </w:tc>
      </w:tr>
      <w:tr>
        <w:tblPrEx>
          <w:tblCellMar>
            <w:top w:w="0" w:type="dxa"/>
            <w:left w:w="0" w:type="dxa"/>
            <w:bottom w:w="0" w:type="dxa"/>
            <w:right w:w="0" w:type="dxa"/>
          </w:tblCellMar>
        </w:tblPrEx>
        <w:trPr>
          <w:trHeight w:val="3181"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非婚生育及收养子女未登记</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未办理结婚登记生育第一个子女且60日内未补办结婚登记的，以及未依法办理收养登记收养子女的，扣50分。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负</w:t>
            </w:r>
          </w:p>
        </w:tc>
        <w:tc>
          <w:tcPr>
            <w:tcW w:w="2448"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025"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left"/>
              <w:rPr>
                <w:b w:val="0"/>
                <w:color w:val="111111"/>
                <w:sz w:val="24"/>
                <w:szCs w:val="24"/>
              </w:rPr>
            </w:pPr>
            <w:r>
              <w:rPr>
                <w:rFonts w:hint="default" w:ascii="Arial" w:hAnsi="Arial" w:cs="Arial"/>
                <w:b w:val="0"/>
                <w:i w:val="0"/>
                <w:caps w:val="0"/>
                <w:color w:val="111111"/>
                <w:spacing w:val="0"/>
                <w:sz w:val="21"/>
                <w:szCs w:val="21"/>
                <w:bdr w:val="none" w:color="auto" w:sz="0" w:space="0"/>
              </w:rPr>
              <w:t>违法犯罪</w:t>
            </w: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曾受过劳动教养（近5年内）</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扣50分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负</w:t>
            </w:r>
          </w:p>
        </w:tc>
        <w:tc>
          <w:tcPr>
            <w:tcW w:w="2448" w:type="dxa"/>
            <w:vMerge w:val="restart"/>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由本人提供户籍地公安派出所提供的有无犯罪记录的证明，并经市公安部门验证。</w:t>
            </w: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025"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曾受过刑事处罚（近5年内）</w:t>
            </w:r>
          </w:p>
        </w:tc>
        <w:tc>
          <w:tcPr>
            <w:tcW w:w="1717"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扣100分</w:t>
            </w:r>
          </w:p>
        </w:tc>
        <w:tc>
          <w:tcPr>
            <w:tcW w:w="475" w:type="dxa"/>
            <w:tcBorders>
              <w:top w:val="nil"/>
              <w:left w:val="nil"/>
              <w:bottom w:val="single" w:color="000000"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负</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r>
        <w:tblPrEx>
          <w:tblCellMar>
            <w:top w:w="0" w:type="dxa"/>
            <w:left w:w="0" w:type="dxa"/>
            <w:bottom w:w="0" w:type="dxa"/>
            <w:right w:w="0" w:type="dxa"/>
          </w:tblCellMar>
        </w:tblPrEx>
        <w:trPr>
          <w:trHeight w:val="1045" w:hRule="atLeast"/>
        </w:trPr>
        <w:tc>
          <w:tcPr>
            <w:tcW w:w="548" w:type="dxa"/>
            <w:vMerge w:val="continue"/>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584"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2338"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参加国家禁止的组织及其活动</w:t>
            </w:r>
          </w:p>
        </w:tc>
        <w:tc>
          <w:tcPr>
            <w:tcW w:w="1717"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扣100分</w:t>
            </w:r>
          </w:p>
        </w:tc>
        <w:tc>
          <w:tcPr>
            <w:tcW w:w="475" w:type="dxa"/>
            <w:tcBorders>
              <w:top w:val="nil"/>
              <w:left w:val="nil"/>
              <w:bottom w:val="single" w:color="auto" w:sz="8" w:space="0"/>
              <w:right w:val="single" w:color="000000" w:sz="8" w:space="0"/>
            </w:tcBorders>
            <w:shd w:val="clear" w:color="auto" w:fill="FFFFFF"/>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left="0" w:right="0"/>
              <w:jc w:val="center"/>
              <w:rPr>
                <w:b w:val="0"/>
                <w:color w:val="111111"/>
                <w:sz w:val="24"/>
                <w:szCs w:val="24"/>
              </w:rPr>
            </w:pPr>
            <w:r>
              <w:rPr>
                <w:rFonts w:hint="default" w:ascii="Arial" w:hAnsi="Arial" w:cs="Arial"/>
                <w:b w:val="0"/>
                <w:i w:val="0"/>
                <w:caps w:val="0"/>
                <w:color w:val="111111"/>
                <w:spacing w:val="0"/>
                <w:sz w:val="21"/>
                <w:szCs w:val="21"/>
                <w:bdr w:val="none" w:color="auto" w:sz="0" w:space="0"/>
              </w:rPr>
              <w:t>负</w:t>
            </w:r>
          </w:p>
        </w:tc>
        <w:tc>
          <w:tcPr>
            <w:tcW w:w="2448" w:type="dxa"/>
            <w:vMerge w:val="continue"/>
            <w:tcBorders>
              <w:top w:val="nil"/>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c>
          <w:tcPr>
            <w:tcW w:w="1187"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jc w:val="left"/>
              <w:rPr>
                <w:rFonts w:hint="default" w:ascii="Arial" w:hAnsi="Arial" w:cs="Arial"/>
                <w:i w:val="0"/>
                <w:caps w:val="0"/>
                <w:color w:val="111111"/>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50" w:lineRule="atLeast"/>
        <w:ind w:left="275" w:right="0" w:firstLine="480"/>
        <w:jc w:val="left"/>
        <w:rPr>
          <w:rFonts w:hint="default" w:ascii="Arial" w:hAnsi="Arial" w:cs="Arial"/>
          <w:i w:val="0"/>
          <w:caps w:val="0"/>
          <w:color w:val="111111"/>
          <w:spacing w:val="0"/>
          <w:sz w:val="24"/>
          <w:szCs w:val="24"/>
        </w:rPr>
      </w:pPr>
      <w:r>
        <w:rPr>
          <w:rFonts w:hint="default" w:ascii="Arial" w:hAnsi="Arial" w:cs="Arial"/>
          <w:i w:val="0"/>
          <w:caps w:val="0"/>
          <w:color w:val="111111"/>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75E1B"/>
    <w:rsid w:val="04B7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2020-11-13T02:41:00Z</dcterms:created>
  <dc:creator>pnteRI</dc:creator>
  <cp:lastModifiedBy>pnteRI</cp:lastModifiedBy>
  <dcterms:modified xsi:type="dcterms:W3CDTF">2020-11-13T02:42:30Z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