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sz w:val="32"/>
          <w:szCs w:val="32"/>
        </w:rPr>
      </w:pPr>
      <w:r>
        <w:rPr>
          <w:rFonts w:hint="eastAsia" w:ascii="黑体" w:hAnsi="黑体" w:eastAsia="黑体"/>
          <w:color w:val="000000"/>
          <w:sz w:val="32"/>
          <w:szCs w:val="32"/>
        </w:rPr>
        <w:t>附件1</w:t>
      </w:r>
    </w:p>
    <w:p>
      <w:pPr>
        <w:widowControl/>
        <w:spacing w:beforeLines="50" w:afterLines="50" w:line="600" w:lineRule="exact"/>
        <w:jc w:val="center"/>
        <w:rPr>
          <w:rFonts w:ascii="方正小标宋简体" w:hAnsi="方正小标宋简体" w:eastAsia="方正小标宋简体" w:cs="仿宋"/>
          <w:color w:val="000000"/>
          <w:sz w:val="36"/>
          <w:szCs w:val="36"/>
        </w:rPr>
      </w:pPr>
      <w:r>
        <w:rPr>
          <w:rFonts w:hint="eastAsia" w:ascii="方正小标宋简体" w:hAnsi="方正小标宋简体" w:eastAsia="方正小标宋简体" w:cs="仿宋"/>
          <w:color w:val="000000"/>
          <w:sz w:val="36"/>
          <w:szCs w:val="36"/>
        </w:rPr>
        <w:t>江西省202</w:t>
      </w:r>
      <w:r>
        <w:rPr>
          <w:rFonts w:hint="eastAsia" w:ascii="方正小标宋简体" w:hAnsi="方正小标宋简体" w:eastAsia="方正小标宋简体" w:cs="仿宋"/>
          <w:color w:val="000000"/>
          <w:sz w:val="36"/>
          <w:szCs w:val="36"/>
          <w:lang w:val="en-US" w:eastAsia="zh-CN"/>
        </w:rPr>
        <w:t>2</w:t>
      </w:r>
      <w:r>
        <w:rPr>
          <w:rFonts w:hint="eastAsia" w:ascii="方正小标宋简体" w:hAnsi="方正小标宋简体" w:eastAsia="方正小标宋简体" w:cs="仿宋"/>
          <w:color w:val="000000"/>
          <w:sz w:val="36"/>
          <w:szCs w:val="36"/>
        </w:rPr>
        <w:t>年普通高校招生</w:t>
      </w:r>
      <w:r>
        <w:rPr>
          <w:rFonts w:ascii="方正小标宋简体" w:hAnsi="方正小标宋简体" w:eastAsia="方正小标宋简体" w:cs="仿宋"/>
          <w:color w:val="000000"/>
          <w:sz w:val="36"/>
          <w:szCs w:val="36"/>
        </w:rPr>
        <w:t>享受优惠</w:t>
      </w:r>
      <w:r>
        <w:rPr>
          <w:rFonts w:hint="eastAsia" w:ascii="方正小标宋简体" w:hAnsi="方正小标宋简体" w:eastAsia="方正小标宋简体" w:cs="仿宋"/>
          <w:color w:val="000000"/>
          <w:sz w:val="36"/>
          <w:szCs w:val="36"/>
        </w:rPr>
        <w:t>考生分类表</w:t>
      </w:r>
    </w:p>
    <w:tbl>
      <w:tblPr>
        <w:tblStyle w:val="2"/>
        <w:tblW w:w="9508" w:type="dxa"/>
        <w:jc w:val="center"/>
        <w:tblLayout w:type="fixed"/>
        <w:tblCellMar>
          <w:top w:w="15" w:type="dxa"/>
          <w:left w:w="15" w:type="dxa"/>
          <w:bottom w:w="15" w:type="dxa"/>
          <w:right w:w="15" w:type="dxa"/>
        </w:tblCellMar>
      </w:tblPr>
      <w:tblGrid>
        <w:gridCol w:w="733"/>
        <w:gridCol w:w="7674"/>
        <w:gridCol w:w="1101"/>
      </w:tblGrid>
      <w:tr>
        <w:tblPrEx>
          <w:tblCellMar>
            <w:top w:w="15" w:type="dxa"/>
            <w:left w:w="15" w:type="dxa"/>
            <w:bottom w:w="15" w:type="dxa"/>
            <w:right w:w="15" w:type="dxa"/>
          </w:tblCellMar>
        </w:tblPrEx>
        <w:trPr>
          <w:trHeight w:val="2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分类</w:t>
            </w:r>
          </w:p>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代号</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优惠对象</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优惠政策</w:t>
            </w:r>
          </w:p>
        </w:tc>
      </w:tr>
      <w:tr>
        <w:tblPrEx>
          <w:tblCellMar>
            <w:top w:w="15" w:type="dxa"/>
            <w:left w:w="15" w:type="dxa"/>
            <w:bottom w:w="15" w:type="dxa"/>
            <w:right w:w="15" w:type="dxa"/>
          </w:tblCellMar>
        </w:tblPrEx>
        <w:trPr>
          <w:trHeight w:val="73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经省政府批准的民族乡（贵溪市樟坪畲族乡等8个民族乡）和按照法定程序批准且经省有关部门向社会公示的民族村（铅山县陈坊乡长寿畲族村等82个民族村）的少数民族考生</w:t>
            </w:r>
          </w:p>
        </w:tc>
        <w:tc>
          <w:tcPr>
            <w:tcW w:w="1101" w:type="dxa"/>
            <w:vMerge w:val="restart"/>
            <w:tcBorders>
              <w:top w:val="single" w:color="000000" w:sz="4" w:space="0"/>
              <w:left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hAnsi="仿宋" w:eastAsia="仿宋_GB2312" w:cs="仿宋"/>
                <w:color w:val="000000"/>
                <w:sz w:val="24"/>
              </w:rPr>
              <w:t>加5分</w:t>
            </w:r>
          </w:p>
        </w:tc>
      </w:tr>
      <w:tr>
        <w:tblPrEx>
          <w:tblCellMar>
            <w:top w:w="15" w:type="dxa"/>
            <w:left w:w="15" w:type="dxa"/>
            <w:bottom w:w="15" w:type="dxa"/>
            <w:right w:w="15" w:type="dxa"/>
          </w:tblCellMar>
        </w:tblPrEx>
        <w:trPr>
          <w:trHeight w:val="62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归侨、华侨子女、归侨子女、台湾省籍（含台湾户籍）考生</w:t>
            </w: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自主就业的退役士兵考生</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加10分</w:t>
            </w: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auto"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sz w:val="24"/>
              </w:rPr>
            </w:pPr>
            <w:r>
              <w:rPr>
                <w:rFonts w:hint="eastAsia" w:ascii="仿宋_GB2312" w:hAnsi="仿宋" w:eastAsia="仿宋_GB2312" w:cs="仿宋"/>
                <w:sz w:val="24"/>
              </w:rPr>
              <w:t>4</w:t>
            </w:r>
          </w:p>
        </w:tc>
        <w:tc>
          <w:tcPr>
            <w:tcW w:w="767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rPr>
                <w:rFonts w:ascii="仿宋_GB2312" w:eastAsia="仿宋_GB2312"/>
                <w:sz w:val="24"/>
              </w:rPr>
            </w:pPr>
            <w:r>
              <w:rPr>
                <w:rFonts w:hint="eastAsia" w:ascii="仿宋_GB2312" w:hAnsi="仿宋" w:eastAsia="仿宋_GB2312" w:cs="仿宋"/>
                <w:sz w:val="24"/>
              </w:rPr>
              <w:t>烈士子女考生</w:t>
            </w:r>
          </w:p>
        </w:tc>
        <w:tc>
          <w:tcPr>
            <w:tcW w:w="1101" w:type="dxa"/>
            <w:vMerge w:val="restart"/>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加20分</w:t>
            </w:r>
          </w:p>
        </w:tc>
      </w:tr>
      <w:tr>
        <w:tblPrEx>
          <w:tblCellMar>
            <w:top w:w="15" w:type="dxa"/>
            <w:left w:w="15" w:type="dxa"/>
            <w:bottom w:w="15" w:type="dxa"/>
            <w:right w:w="15" w:type="dxa"/>
          </w:tblCellMar>
        </w:tblPrEx>
        <w:trPr>
          <w:trHeight w:val="735" w:hRule="atLeast"/>
          <w:tblHeader/>
          <w:jc w:val="center"/>
        </w:trPr>
        <w:tc>
          <w:tcPr>
            <w:tcW w:w="733" w:type="dxa"/>
            <w:tcBorders>
              <w:top w:val="single" w:color="auto"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7674" w:type="dxa"/>
            <w:tcBorders>
              <w:top w:val="single" w:color="auto"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在服役期间荣立二等功以上或被战区（原大军区）以上单位授予荣誉称号的退役军人考生</w:t>
            </w:r>
          </w:p>
        </w:tc>
        <w:tc>
          <w:tcPr>
            <w:tcW w:w="1101" w:type="dxa"/>
            <w:vMerge w:val="continue"/>
            <w:tcBorders>
              <w:top w:val="single" w:color="auto" w:sz="4" w:space="0"/>
              <w:left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289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F</w:t>
            </w:r>
          </w:p>
        </w:tc>
        <w:tc>
          <w:tcPr>
            <w:tcW w:w="767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 w:eastAsia="仿宋_GB2312" w:cs="仿宋"/>
                <w:color w:val="000000"/>
                <w:sz w:val="24"/>
              </w:rPr>
            </w:pPr>
            <w:r>
              <w:rPr>
                <w:rFonts w:hint="eastAsia" w:ascii="仿宋_GB2312" w:hAnsi="仿宋" w:eastAsia="仿宋_GB2312" w:cs="仿宋"/>
                <w:color w:val="000000"/>
                <w:sz w:val="24"/>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或者解放军总部划定的特类岛屿工作累计满10年的军人的子女，在飞或停飞不满1年或达到飞行最高年限空勤军人的子女，从事舰艇工作满20年军人的子女，在航天和涉核岗位工作累计满15年军人的子女。</w:t>
            </w:r>
          </w:p>
          <w:p>
            <w:pPr>
              <w:spacing w:line="400" w:lineRule="exact"/>
              <w:rPr>
                <w:rFonts w:hint="eastAsia" w:ascii="仿宋_GB2312" w:hAnsi="仿宋_GB2312" w:eastAsia="仿宋_GB2312" w:cs="仿宋_GB2312"/>
                <w:sz w:val="24"/>
                <w:lang w:eastAsia="zh-CN"/>
              </w:rPr>
            </w:pPr>
            <w:r>
              <w:rPr>
                <w:rFonts w:hint="eastAsia" w:ascii="仿宋_GB2312" w:hAnsi="仿宋" w:eastAsia="仿宋_GB2312" w:cs="仿宋"/>
                <w:color w:val="000000"/>
                <w:sz w:val="24"/>
              </w:rPr>
              <w:t>退出部队现役的考生，残疾人民警察，全国公安系统一级、二级英雄模范（司法行政机关人民警察一级、二级英雄模范）的子女，因公牺牲、一级至四级因公伤残公安民警（司法行政机关人民警察）的子女</w:t>
            </w:r>
            <w:r>
              <w:rPr>
                <w:rFonts w:hint="eastAsia" w:ascii="仿宋_GB2312" w:hAnsi="仿宋" w:eastAsia="仿宋_GB2312" w:cs="仿宋"/>
                <w:color w:val="000000"/>
                <w:sz w:val="24"/>
                <w:lang w:eastAsia="zh-CN"/>
              </w:rPr>
              <w:t>，</w:t>
            </w:r>
            <w:r>
              <w:rPr>
                <w:rFonts w:hint="eastAsia" w:ascii="仿宋_GB2312" w:hAnsi="仿宋" w:eastAsia="仿宋_GB2312" w:cs="仿宋"/>
                <w:color w:val="000000"/>
                <w:sz w:val="24"/>
              </w:rPr>
              <w:t>5A级青年志愿者</w:t>
            </w:r>
            <w:r>
              <w:rPr>
                <w:rFonts w:hint="eastAsia" w:ascii="仿宋_GB2312" w:hAnsi="仿宋" w:eastAsia="仿宋_GB2312" w:cs="仿宋"/>
                <w:color w:val="000000"/>
                <w:sz w:val="24"/>
                <w:lang w:eastAsia="zh-CN"/>
              </w:rPr>
              <w:t>。</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同等条件下，优先录取</w:t>
            </w:r>
          </w:p>
        </w:tc>
      </w:tr>
    </w:tbl>
    <w:p>
      <w:pPr>
        <w:widowControl/>
        <w:rPr>
          <w:rFonts w:ascii="宋体" w:hAnsi="宋体" w:cs="宋体"/>
          <w:color w:val="00000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6605D"/>
    <w:rsid w:val="016E69CA"/>
    <w:rsid w:val="4966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2022-05-27T08:07:00Z</dcterms:created>
  <dc:creator>GFT</dc:creator>
  <cp:lastModifiedBy>GFT</cp:lastModifiedBy>
  <dcterms:modified xsi:type="dcterms:W3CDTF">2022-05-27T08:08:49Z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