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  <w:lang w:val="zh-CN"/>
        </w:rPr>
        <w:t>附件2-</w:t>
      </w:r>
      <w:r>
        <w:rPr>
          <w:rFonts w:hint="eastAsia" w:ascii="黑体" w:hAnsi="黑体" w:eastAsia="黑体" w:cs="方正小标宋简体"/>
          <w:sz w:val="32"/>
          <w:szCs w:val="32"/>
        </w:rPr>
        <w:t>1</w:t>
      </w:r>
    </w:p>
    <w:p>
      <w:pPr>
        <w:spacing w:line="360" w:lineRule="auto"/>
        <w:rPr>
          <w:rFonts w:ascii="Times New Roman" w:hAnsi="Times New Roman" w:eastAsia="方正小标宋简体" w:cs="方正小标宋简体"/>
          <w:sz w:val="40"/>
          <w:szCs w:val="40"/>
          <w:lang w:val="zh-CN"/>
        </w:rPr>
      </w:pPr>
    </w:p>
    <w:p>
      <w:pPr>
        <w:spacing w:line="360" w:lineRule="auto"/>
        <w:rPr>
          <w:rFonts w:ascii="Times New Roman" w:hAnsi="Times New Roman" w:eastAsia="方正小标宋简体" w:cs="方正小标宋简体"/>
          <w:sz w:val="40"/>
          <w:szCs w:val="40"/>
          <w:lang w:val="zh-CN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  <w:lang w:val="zh-CN"/>
        </w:rPr>
        <w:t>202</w:t>
      </w:r>
      <w:r>
        <w:rPr>
          <w:rFonts w:ascii="Times New Roman" w:hAnsi="Times New Roman" w:eastAsia="方正小标宋简体" w:cs="方正小标宋简体"/>
          <w:sz w:val="40"/>
          <w:szCs w:val="40"/>
          <w:lang w:val="zh-CN"/>
        </w:rPr>
        <w:t>1</w:t>
      </w:r>
      <w:r>
        <w:rPr>
          <w:rFonts w:hint="eastAsia" w:ascii="Times New Roman" w:hAnsi="Times New Roman" w:eastAsia="方正小标宋简体" w:cs="方正小标宋简体"/>
          <w:sz w:val="40"/>
          <w:szCs w:val="40"/>
          <w:lang w:val="zh-CN"/>
        </w:rPr>
        <w:t>年江苏省中等职业学校学生学业水平考试</w:t>
      </w:r>
    </w:p>
    <w:p>
      <w:pPr>
        <w:spacing w:line="360" w:lineRule="auto"/>
        <w:rPr>
          <w:rFonts w:ascii="Times New Roman" w:hAnsi="Times New Roman" w:eastAsia="方正小标宋简体" w:cs="方正小标宋简体"/>
          <w:sz w:val="40"/>
          <w:szCs w:val="40"/>
          <w:lang w:val="zh-CN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  <w:lang w:val="zh-CN"/>
        </w:rPr>
        <w:t>农林牧渔类专业基本技能考试指导性实施方案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ascii="Times New Roman" w:hAnsi="Times New Roman" w:eastAsia="黑体" w:cs="黑体"/>
          <w:bCs/>
          <w:kern w:val="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一、考试对象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面向全省中等职业学校（含技工院校）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2022届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val="zh-CN"/>
        </w:rPr>
        <w:t>农林牧渔类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种植方向和养殖方向相关专业考生。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" w:cs="仿宋"/>
          <w:sz w:val="32"/>
          <w:szCs w:val="32"/>
          <w:lang w:val="zh-CN"/>
        </w:rPr>
      </w:pPr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种植方向：</w:t>
      </w:r>
      <w:r>
        <w:rPr>
          <w:rFonts w:hint="eastAsia" w:ascii="Times New Roman" w:hAnsi="Times New Roman" w:eastAsia="仿宋" w:cs="仿宋"/>
          <w:sz w:val="32"/>
          <w:szCs w:val="32"/>
          <w:lang w:val="zh-CN"/>
        </w:rPr>
        <w:t>现代农艺技术、观光农业经营、植物保护、果蔬花卉生产技术、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园林技术</w:t>
      </w:r>
      <w:r>
        <w:rPr>
          <w:rFonts w:hint="eastAsia" w:ascii="Times New Roman" w:hAnsi="Times New Roman" w:eastAsia="仿宋" w:cs="仿宋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园林绿化</w:t>
      </w:r>
      <w:r>
        <w:rPr>
          <w:rFonts w:hint="eastAsia" w:ascii="Times New Roman" w:hAnsi="Times New Roman" w:eastAsia="仿宋" w:cs="仿宋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设施农业生产技术</w:t>
      </w:r>
      <w:r>
        <w:rPr>
          <w:rFonts w:hint="eastAsia" w:ascii="Times New Roman" w:hAnsi="Times New Roman" w:eastAsia="仿宋" w:cs="仿宋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农产品保鲜与加工</w:t>
      </w:r>
      <w:r>
        <w:rPr>
          <w:rFonts w:hint="eastAsia" w:ascii="Times New Roman" w:hAnsi="Times New Roman" w:eastAsia="仿宋" w:cs="仿宋"/>
          <w:sz w:val="32"/>
          <w:szCs w:val="32"/>
        </w:rPr>
        <w:t>等相关专业</w:t>
      </w:r>
      <w:r>
        <w:rPr>
          <w:rFonts w:hint="eastAsia" w:ascii="Times New Roman" w:hAnsi="Times New Roman" w:eastAsia="仿宋" w:cs="仿宋"/>
          <w:sz w:val="32"/>
          <w:szCs w:val="32"/>
          <w:lang w:val="zh-CN"/>
        </w:rPr>
        <w:t>。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养殖方向：</w:t>
      </w:r>
      <w:r>
        <w:rPr>
          <w:rFonts w:hint="eastAsia" w:ascii="Times New Roman" w:hAnsi="Times New Roman" w:eastAsia="仿宋" w:cs="仿宋"/>
          <w:sz w:val="32"/>
          <w:szCs w:val="32"/>
          <w:lang w:val="zh-CN"/>
        </w:rPr>
        <w:t>畜禽生产与疾病防治、畜牧兽医、宠物养护与经营、淡水养殖</w:t>
      </w:r>
      <w:r>
        <w:rPr>
          <w:rFonts w:hint="eastAsia" w:ascii="Times New Roman" w:hAnsi="Times New Roman" w:eastAsia="仿宋" w:cs="仿宋"/>
          <w:sz w:val="32"/>
          <w:szCs w:val="32"/>
        </w:rPr>
        <w:t>等相关专业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现代职教体系“3+3”、“3+4”试点项目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2022届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学生须参加考试。五年制高职学生是否参加考试，由各市教育局统筹安排。</w:t>
      </w:r>
    </w:p>
    <w:p>
      <w:pPr>
        <w:spacing w:before="156" w:beforeLines="50" w:after="156" w:afterLines="50" w:line="40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二、考试内容、方式、时长及配分</w:t>
      </w:r>
    </w:p>
    <w:tbl>
      <w:tblPr>
        <w:tblStyle w:val="2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3555"/>
        <w:gridCol w:w="1166"/>
        <w:gridCol w:w="124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专业方向</w:t>
            </w:r>
          </w:p>
        </w:tc>
        <w:tc>
          <w:tcPr>
            <w:tcW w:w="208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考试内容</w:t>
            </w:r>
          </w:p>
        </w:tc>
        <w:tc>
          <w:tcPr>
            <w:tcW w:w="68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方式</w:t>
            </w:r>
          </w:p>
        </w:tc>
        <w:tc>
          <w:tcPr>
            <w:tcW w:w="72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时长</w:t>
            </w:r>
          </w:p>
        </w:tc>
        <w:tc>
          <w:tcPr>
            <w:tcW w:w="640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仿宋"/>
                <w:b/>
                <w:sz w:val="24"/>
              </w:rPr>
            </w:pPr>
            <w:r>
              <w:rPr>
                <w:rFonts w:hint="eastAsia" w:ascii="Times New Roman" w:hAnsi="Times New Roman" w:eastAsia="宋体" w:cs="仿宋"/>
                <w:b/>
                <w:sz w:val="24"/>
              </w:rPr>
              <w:t>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种植方向</w:t>
            </w:r>
          </w:p>
        </w:tc>
        <w:tc>
          <w:tcPr>
            <w:tcW w:w="2086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常见植物和病虫害识别</w:t>
            </w: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信息化</w:t>
            </w:r>
          </w:p>
        </w:tc>
        <w:tc>
          <w:tcPr>
            <w:tcW w:w="72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30分钟</w:t>
            </w:r>
          </w:p>
        </w:tc>
        <w:tc>
          <w:tcPr>
            <w:tcW w:w="64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086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土壤pH值测定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实操</w:t>
            </w:r>
          </w:p>
        </w:tc>
        <w:tc>
          <w:tcPr>
            <w:tcW w:w="72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30分钟</w:t>
            </w:r>
          </w:p>
        </w:tc>
        <w:tc>
          <w:tcPr>
            <w:tcW w:w="64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养殖方向</w:t>
            </w:r>
          </w:p>
        </w:tc>
        <w:tc>
          <w:tcPr>
            <w:tcW w:w="2086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动物品种及饲料原料识别</w:t>
            </w: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信息化</w:t>
            </w:r>
          </w:p>
        </w:tc>
        <w:tc>
          <w:tcPr>
            <w:tcW w:w="72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30分钟</w:t>
            </w:r>
          </w:p>
        </w:tc>
        <w:tc>
          <w:tcPr>
            <w:tcW w:w="64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pct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086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注射器使用及药物配制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实操</w:t>
            </w:r>
          </w:p>
        </w:tc>
        <w:tc>
          <w:tcPr>
            <w:tcW w:w="72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30分钟</w:t>
            </w:r>
          </w:p>
        </w:tc>
        <w:tc>
          <w:tcPr>
            <w:tcW w:w="64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2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总计</w:t>
            </w:r>
          </w:p>
        </w:tc>
        <w:tc>
          <w:tcPr>
            <w:tcW w:w="72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  <w:t>60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分钟</w:t>
            </w:r>
          </w:p>
        </w:tc>
        <w:tc>
          <w:tcPr>
            <w:tcW w:w="64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分</w:t>
            </w:r>
          </w:p>
        </w:tc>
      </w:tr>
    </w:tbl>
    <w:p>
      <w:pPr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三、考试时间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20</w:t>
      </w:r>
      <w:r>
        <w:rPr>
          <w:rFonts w:ascii="Times New Roman" w:hAnsi="Times New Roman" w:eastAsia="仿宋" w:cs="仿宋"/>
          <w:kern w:val="0"/>
          <w:sz w:val="32"/>
          <w:szCs w:val="32"/>
        </w:rPr>
        <w:t>21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年11月中旬。</w:t>
      </w:r>
    </w:p>
    <w:p>
      <w:pPr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四、组织实施</w:t>
      </w:r>
    </w:p>
    <w:p>
      <w:pPr>
        <w:snapToGrid w:val="0"/>
        <w:spacing w:line="560" w:lineRule="exact"/>
        <w:ind w:firstLine="640" w:firstLineChars="200"/>
        <w:outlineLvl w:val="1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（一）考点设置</w:t>
      </w:r>
    </w:p>
    <w:tbl>
      <w:tblPr>
        <w:tblStyle w:val="21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01"/>
        <w:gridCol w:w="4101"/>
        <w:gridCol w:w="2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序号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城市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考点学校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南京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江苏省溧水中等专业学校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仅种植方向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2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南京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南京江宁中等专业学校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仅种植方向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3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徐州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江苏省徐州市张集中等专业学校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仅种植方向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4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南通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江苏省如皋中等专业学校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仅种植方向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5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南通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江苏省如皋第一中等专业学校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仅种植方向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6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淮安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淮安生物工程高等职业学校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种植方向和养殖方向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7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盐城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盐城生物工程高等职业技术学校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种植方向和养殖方向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8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镇江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江苏农林职业技术学院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种植方向和养殖方向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9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镇江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江苏省句容中等专业学校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仅种植方向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10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泰州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江苏农牧科技职业学院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种植方向和养殖方向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11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宿迁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江苏省泗阳中等专业学校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仅种植方向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  <w:r>
              <w:rPr>
                <w:rFonts w:ascii="Times New Roman" w:hAnsi="Times New Roman" w:eastAsia="仿宋" w:cs="仿宋"/>
                <w:sz w:val="24"/>
              </w:rPr>
              <w:t>2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无锡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江阴市华姿中等专业学校</w:t>
            </w:r>
          </w:p>
        </w:tc>
        <w:tc>
          <w:tcPr>
            <w:tcW w:w="1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仅种植方向</w:t>
            </w:r>
          </w:p>
        </w:tc>
      </w:tr>
    </w:tbl>
    <w:p>
      <w:pPr>
        <w:snapToGrid w:val="0"/>
        <w:spacing w:line="560" w:lineRule="exact"/>
        <w:ind w:firstLine="560" w:firstLineChars="200"/>
        <w:outlineLvl w:val="1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注：尚未建标准化考点的学校，可依托校内实训室开展2021年专业基本技能考试。</w:t>
      </w:r>
    </w:p>
    <w:bookmarkEnd w:id="0"/>
    <w:p>
      <w:pPr>
        <w:snapToGrid w:val="0"/>
        <w:spacing w:line="560" w:lineRule="exact"/>
        <w:ind w:firstLine="640" w:firstLineChars="200"/>
        <w:outlineLvl w:val="1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（二）考试组织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color w:val="000000"/>
          <w:kern w:val="0"/>
          <w:sz w:val="32"/>
          <w:szCs w:val="32"/>
        </w:rPr>
        <w:t>省教育考试院和省中职学考办公室负责考务组织管理与协调工作，各市教育行政部门、招考系统负责具体实施。专业委员会负责协调本专业类有关考点院校，协同各设区市教育行政部门、招考部门完成本专业类专业技能考试。考点学校应组建技术团队，加强考试平台维护，确保正常运行。</w:t>
      </w:r>
    </w:p>
    <w:p>
      <w:pPr>
        <w:snapToGrid w:val="0"/>
        <w:spacing w:line="560" w:lineRule="exact"/>
        <w:ind w:firstLine="640" w:firstLineChars="200"/>
        <w:outlineLvl w:val="1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（三）考场安排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“常见植物和病虫害识别”和“动物品种及饲料原料识别”项目安排在标准化机房考试，每个机房设置30个工位，满足每场25人同时考试。其余项目安排在技能标准化考场，每个考场提供30个工位，满足每场25人同时考试。</w:t>
      </w:r>
    </w:p>
    <w:p>
      <w:pPr>
        <w:snapToGrid w:val="0"/>
        <w:spacing w:line="560" w:lineRule="exact"/>
        <w:ind w:firstLine="640" w:firstLineChars="200"/>
        <w:outlineLvl w:val="1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（四）评分方式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“常见植物和病虫害识别”和“动物品种及饲料原料识别”项目通过信息化综合实训平台进行考试，系统自动评分，考试期间，安排2名监考老师，1名网络维护人员。其余项目分别安排5名考评员，由考评员现场评分。</w:t>
      </w:r>
    </w:p>
    <w:p>
      <w:pPr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五、考点设备配置要求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详见江苏省中等职业学校学业水平考试种植类、养殖类技能考试考点建设标准（试行），其中项目仪器设备与材料每个工位</w:t>
      </w:r>
      <w:r>
        <w:rPr>
          <w:rFonts w:ascii="Times New Roman" w:hAnsi="Times New Roman" w:eastAsia="仿宋" w:cs="仿宋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套，每生</w:t>
      </w:r>
      <w:r>
        <w:rPr>
          <w:rFonts w:ascii="Times New Roman" w:hAnsi="Times New Roman" w:eastAsia="仿宋" w:cs="仿宋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个工位，工位设置如下。</w:t>
      </w:r>
    </w:p>
    <w:p>
      <w:pPr>
        <w:spacing w:line="360" w:lineRule="auto"/>
        <w:ind w:firstLine="640" w:firstLineChars="200"/>
        <w:outlineLvl w:val="1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（一）常见植物和病虫害识别</w:t>
      </w:r>
    </w:p>
    <w:tbl>
      <w:tblPr>
        <w:tblStyle w:val="2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502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57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序号</w:t>
            </w:r>
          </w:p>
        </w:tc>
        <w:tc>
          <w:tcPr>
            <w:tcW w:w="146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设备</w:t>
            </w:r>
          </w:p>
        </w:tc>
        <w:tc>
          <w:tcPr>
            <w:tcW w:w="295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575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处理器（CPU）</w:t>
            </w:r>
          </w:p>
        </w:tc>
        <w:tc>
          <w:tcPr>
            <w:tcW w:w="29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主频≥2.0GHz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575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2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内存</w:t>
            </w:r>
          </w:p>
        </w:tc>
        <w:tc>
          <w:tcPr>
            <w:tcW w:w="29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≥4GB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575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3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硬盘</w:t>
            </w:r>
          </w:p>
        </w:tc>
        <w:tc>
          <w:tcPr>
            <w:tcW w:w="29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容量≥500G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75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4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显示器</w:t>
            </w:r>
          </w:p>
        </w:tc>
        <w:tc>
          <w:tcPr>
            <w:tcW w:w="29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尺寸≥19英寸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75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操作系统</w:t>
            </w:r>
          </w:p>
        </w:tc>
        <w:tc>
          <w:tcPr>
            <w:tcW w:w="29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Windows7及以上版本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75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6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考核平台</w:t>
            </w:r>
          </w:p>
        </w:tc>
        <w:tc>
          <w:tcPr>
            <w:tcW w:w="29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信息化综合考核平台（客户端）</w:t>
            </w:r>
          </w:p>
        </w:tc>
      </w:tr>
    </w:tbl>
    <w:p>
      <w:pPr>
        <w:spacing w:line="360" w:lineRule="auto"/>
        <w:ind w:firstLine="640" w:firstLineChars="200"/>
        <w:outlineLvl w:val="1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（二）动物品种及饲料原料识别</w:t>
      </w:r>
    </w:p>
    <w:tbl>
      <w:tblPr>
        <w:tblStyle w:val="2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503"/>
        <w:gridCol w:w="5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57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序号</w:t>
            </w:r>
          </w:p>
        </w:tc>
        <w:tc>
          <w:tcPr>
            <w:tcW w:w="146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设备</w:t>
            </w:r>
          </w:p>
        </w:tc>
        <w:tc>
          <w:tcPr>
            <w:tcW w:w="295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575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处理器（CPU）</w:t>
            </w:r>
          </w:p>
        </w:tc>
        <w:tc>
          <w:tcPr>
            <w:tcW w:w="29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主频≥2.0GHz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575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2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内存</w:t>
            </w:r>
          </w:p>
        </w:tc>
        <w:tc>
          <w:tcPr>
            <w:tcW w:w="29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≥4GB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575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3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硬盘</w:t>
            </w:r>
          </w:p>
        </w:tc>
        <w:tc>
          <w:tcPr>
            <w:tcW w:w="29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容量≥500G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75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4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显示器</w:t>
            </w:r>
          </w:p>
        </w:tc>
        <w:tc>
          <w:tcPr>
            <w:tcW w:w="29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尺寸≥19英寸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75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操作系统</w:t>
            </w:r>
          </w:p>
        </w:tc>
        <w:tc>
          <w:tcPr>
            <w:tcW w:w="29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Windows7及以上版本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75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6</w:t>
            </w:r>
          </w:p>
        </w:tc>
        <w:tc>
          <w:tcPr>
            <w:tcW w:w="14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考核平台</w:t>
            </w:r>
          </w:p>
        </w:tc>
        <w:tc>
          <w:tcPr>
            <w:tcW w:w="29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信息化综合考核平台（客户端）</w:t>
            </w:r>
          </w:p>
        </w:tc>
      </w:tr>
    </w:tbl>
    <w:p>
      <w:pPr>
        <w:spacing w:line="560" w:lineRule="exact"/>
        <w:ind w:firstLine="640" w:firstLineChars="200"/>
        <w:outlineLvl w:val="1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（三）土壤pH值测定</w:t>
      </w:r>
    </w:p>
    <w:tbl>
      <w:tblPr>
        <w:tblStyle w:val="2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2040"/>
        <w:gridCol w:w="2603"/>
        <w:gridCol w:w="723"/>
        <w:gridCol w:w="723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2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</w:rPr>
              <w:t>序号</w:t>
            </w:r>
          </w:p>
        </w:tc>
        <w:tc>
          <w:tcPr>
            <w:tcW w:w="119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</w:rPr>
              <w:t>器材名称</w:t>
            </w:r>
          </w:p>
        </w:tc>
        <w:tc>
          <w:tcPr>
            <w:tcW w:w="152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</w:rPr>
              <w:t>规格</w:t>
            </w:r>
          </w:p>
        </w:tc>
        <w:tc>
          <w:tcPr>
            <w:tcW w:w="42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</w:rPr>
              <w:t>数量</w:t>
            </w:r>
          </w:p>
        </w:tc>
        <w:tc>
          <w:tcPr>
            <w:tcW w:w="42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</w:rPr>
              <w:t>单位</w:t>
            </w:r>
          </w:p>
        </w:tc>
        <w:tc>
          <w:tcPr>
            <w:tcW w:w="100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土壤样品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500克（18目）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瓶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具塞广口瓶装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2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pH计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0.01（pHS-3C）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台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3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pH复合电极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E-201-C (标配电极)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支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4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标准缓冲液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pH4.00/pH 9.18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套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根据当地土壤情况选择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标准缓冲液粉剂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pH 6.86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袋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6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温度计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0～100℃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支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7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电子天平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感量：0.01g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台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8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高型烧杯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50mL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3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只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9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玻璃棒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20cm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支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10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洗瓶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500mL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只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11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容量瓶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250mL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4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只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12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普通烧杯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50mL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只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13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</w:rPr>
              <w:t>搪瓷方盘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35×50cm</w:t>
            </w:r>
          </w:p>
        </w:tc>
        <w:tc>
          <w:tcPr>
            <w:tcW w:w="4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</w:rPr>
              <w:t>个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14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吸水纸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卷纸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卷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15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标签纸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不干胶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张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4" w:type="pct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" w:cs="仿宋"/>
                <w:color w:val="000000"/>
                <w:sz w:val="24"/>
              </w:rPr>
              <w:t>6</w:t>
            </w:r>
          </w:p>
        </w:tc>
        <w:tc>
          <w:tcPr>
            <w:tcW w:w="11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记号笔</w:t>
            </w:r>
          </w:p>
        </w:tc>
        <w:tc>
          <w:tcPr>
            <w:tcW w:w="15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普通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支</w:t>
            </w:r>
          </w:p>
        </w:tc>
        <w:tc>
          <w:tcPr>
            <w:tcW w:w="10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640" w:firstLineChars="200"/>
        <w:outlineLvl w:val="1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（四）注射器的使用及药物配制</w:t>
      </w:r>
    </w:p>
    <w:tbl>
      <w:tblPr>
        <w:tblStyle w:val="2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628"/>
        <w:gridCol w:w="2183"/>
        <w:gridCol w:w="842"/>
        <w:gridCol w:w="1004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序号</w:t>
            </w:r>
          </w:p>
        </w:tc>
        <w:tc>
          <w:tcPr>
            <w:tcW w:w="154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器材名称</w:t>
            </w:r>
          </w:p>
        </w:tc>
        <w:tc>
          <w:tcPr>
            <w:tcW w:w="1281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规格</w:t>
            </w:r>
          </w:p>
        </w:tc>
        <w:tc>
          <w:tcPr>
            <w:tcW w:w="49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数量</w:t>
            </w:r>
          </w:p>
        </w:tc>
        <w:tc>
          <w:tcPr>
            <w:tcW w:w="589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单位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金属注射器</w:t>
            </w:r>
          </w:p>
        </w:tc>
        <w:tc>
          <w:tcPr>
            <w:tcW w:w="12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20mL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只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>2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一次性注射器</w:t>
            </w:r>
          </w:p>
        </w:tc>
        <w:tc>
          <w:tcPr>
            <w:tcW w:w="128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仿宋"/>
                <w:bCs/>
                <w:color w:val="000000"/>
                <w:sz w:val="24"/>
              </w:rPr>
              <w:t>5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</w:rPr>
              <w:t>mL</w:t>
            </w:r>
          </w:p>
        </w:tc>
        <w:tc>
          <w:tcPr>
            <w:tcW w:w="49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</w:rPr>
              <w:t>只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>3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针头</w:t>
            </w:r>
          </w:p>
        </w:tc>
        <w:tc>
          <w:tcPr>
            <w:tcW w:w="12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12号、7号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2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根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4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烧杯</w:t>
            </w:r>
          </w:p>
        </w:tc>
        <w:tc>
          <w:tcPr>
            <w:tcW w:w="12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100mL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只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5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镊子</w:t>
            </w:r>
          </w:p>
        </w:tc>
        <w:tc>
          <w:tcPr>
            <w:tcW w:w="12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12.5cm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个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无齿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6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待配药品</w:t>
            </w:r>
          </w:p>
        </w:tc>
        <w:tc>
          <w:tcPr>
            <w:tcW w:w="12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瓶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7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灭菌注射用水</w:t>
            </w:r>
          </w:p>
        </w:tc>
        <w:tc>
          <w:tcPr>
            <w:tcW w:w="12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5mL（安瓿瓶）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2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支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8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砂轮</w:t>
            </w:r>
          </w:p>
        </w:tc>
        <w:tc>
          <w:tcPr>
            <w:tcW w:w="12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15mm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个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9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酒精棉球</w:t>
            </w:r>
          </w:p>
        </w:tc>
        <w:tc>
          <w:tcPr>
            <w:tcW w:w="12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自制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盒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  <w:r>
              <w:rPr>
                <w:rFonts w:ascii="Times New Roman" w:hAnsi="Times New Roman" w:eastAsia="仿宋" w:cs="仿宋"/>
                <w:sz w:val="24"/>
              </w:rPr>
              <w:t>0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垃圾桶</w:t>
            </w:r>
          </w:p>
        </w:tc>
        <w:tc>
          <w:tcPr>
            <w:tcW w:w="12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普通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个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  <w:r>
              <w:rPr>
                <w:rFonts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水</w:t>
            </w:r>
          </w:p>
        </w:tc>
        <w:tc>
          <w:tcPr>
            <w:tcW w:w="12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自来水或蒸馏水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50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mL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  <w:r>
              <w:rPr>
                <w:rFonts w:ascii="Times New Roman" w:hAnsi="Times New Roman" w:eastAsia="仿宋" w:cs="仿宋"/>
                <w:sz w:val="24"/>
              </w:rPr>
              <w:t>2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注射器部件记录表</w:t>
            </w:r>
          </w:p>
        </w:tc>
        <w:tc>
          <w:tcPr>
            <w:tcW w:w="12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A4纸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张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" w:type="pct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  <w:r>
              <w:rPr>
                <w:rFonts w:ascii="Times New Roman" w:hAnsi="Times New Roman" w:eastAsia="仿宋" w:cs="仿宋"/>
                <w:sz w:val="24"/>
              </w:rPr>
              <w:t>3</w:t>
            </w:r>
          </w:p>
        </w:tc>
        <w:tc>
          <w:tcPr>
            <w:tcW w:w="15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记录用笔</w:t>
            </w:r>
          </w:p>
        </w:tc>
        <w:tc>
          <w:tcPr>
            <w:tcW w:w="12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普通</w:t>
            </w: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支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</w:tbl>
    <w:p>
      <w:pPr>
        <w:numPr>
          <w:ilvl w:val="0"/>
          <w:numId w:val="2"/>
        </w:numPr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考试样题及评分标准</w:t>
      </w:r>
    </w:p>
    <w:p>
      <w:pPr>
        <w:snapToGrid w:val="0"/>
        <w:spacing w:line="560" w:lineRule="exact"/>
        <w:ind w:firstLine="640" w:firstLineChars="200"/>
        <w:outlineLvl w:val="1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（一）常见植物和病虫害识别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1</w:t>
      </w:r>
      <w:r>
        <w:rPr>
          <w:rFonts w:ascii="Times New Roman" w:hAnsi="Times New Roman" w:eastAsia="仿宋" w:cs="仿宋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考试样题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在规定的时间内识别植物</w:t>
      </w:r>
      <w:r>
        <w:rPr>
          <w:rFonts w:ascii="Times New Roman" w:hAnsi="Times New Roman" w:eastAsia="仿宋" w:cs="仿宋"/>
          <w:kern w:val="0"/>
          <w:sz w:val="32"/>
          <w:szCs w:val="32"/>
        </w:rPr>
        <w:t>25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种，识别害虫</w:t>
      </w:r>
      <w:r>
        <w:rPr>
          <w:rFonts w:ascii="Times New Roman" w:hAnsi="Times New Roman" w:eastAsia="仿宋" w:cs="仿宋"/>
          <w:kern w:val="0"/>
          <w:sz w:val="32"/>
          <w:szCs w:val="32"/>
        </w:rPr>
        <w:t>15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种，识别病害</w:t>
      </w:r>
      <w:r>
        <w:rPr>
          <w:rFonts w:ascii="Times New Roman" w:hAnsi="Times New Roman" w:eastAsia="仿宋" w:cs="仿宋"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种。时间</w:t>
      </w:r>
      <w:r>
        <w:rPr>
          <w:rFonts w:ascii="Times New Roman" w:hAnsi="Times New Roman" w:eastAsia="仿宋" w:cs="仿宋"/>
          <w:kern w:val="0"/>
          <w:sz w:val="32"/>
          <w:szCs w:val="32"/>
        </w:rPr>
        <w:t>30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分钟，总分</w:t>
      </w:r>
      <w:r>
        <w:rPr>
          <w:rFonts w:ascii="Times New Roman" w:hAnsi="Times New Roman" w:eastAsia="仿宋" w:cs="仿宋"/>
          <w:kern w:val="0"/>
          <w:sz w:val="32"/>
          <w:szCs w:val="32"/>
        </w:rPr>
        <w:t>50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分。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2</w:t>
      </w:r>
      <w:r>
        <w:rPr>
          <w:rFonts w:ascii="Times New Roman" w:hAnsi="Times New Roman" w:eastAsia="仿宋" w:cs="仿宋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评分标准</w:t>
      </w:r>
    </w:p>
    <w:tbl>
      <w:tblPr>
        <w:tblStyle w:val="21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475"/>
        <w:gridCol w:w="4222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2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序号</w:t>
            </w:r>
          </w:p>
        </w:tc>
        <w:tc>
          <w:tcPr>
            <w:tcW w:w="146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评分要点</w:t>
            </w:r>
          </w:p>
        </w:tc>
        <w:tc>
          <w:tcPr>
            <w:tcW w:w="249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评分依据</w:t>
            </w:r>
          </w:p>
        </w:tc>
        <w:tc>
          <w:tcPr>
            <w:tcW w:w="611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1464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常见植物识别</w:t>
            </w:r>
          </w:p>
        </w:tc>
        <w:tc>
          <w:tcPr>
            <w:tcW w:w="2497" w:type="pct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识别常见植物品种。（1分/个）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2</w:t>
            </w:r>
          </w:p>
        </w:tc>
        <w:tc>
          <w:tcPr>
            <w:tcW w:w="1464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常见植物病虫害识别</w:t>
            </w:r>
          </w:p>
        </w:tc>
        <w:tc>
          <w:tcPr>
            <w:tcW w:w="2497" w:type="pct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识别常见害虫和病害。（1分/个）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25</w:t>
            </w:r>
          </w:p>
        </w:tc>
      </w:tr>
    </w:tbl>
    <w:p>
      <w:pPr>
        <w:spacing w:line="560" w:lineRule="exact"/>
        <w:ind w:firstLine="640" w:firstLineChars="200"/>
        <w:outlineLvl w:val="1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（二）动物品种及饲料原料识别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1</w:t>
      </w:r>
      <w:r>
        <w:rPr>
          <w:rFonts w:ascii="Times New Roman" w:hAnsi="Times New Roman" w:eastAsia="仿宋" w:cs="仿宋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考试样题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在规定的时间内识别猪、牛、羊、禽、犬、猫品种3</w:t>
      </w:r>
      <w:r>
        <w:rPr>
          <w:rFonts w:ascii="Times New Roman" w:hAnsi="Times New Roman" w:eastAsia="仿宋" w:cs="仿宋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个，识别饲料原料</w:t>
      </w:r>
      <w:r>
        <w:rPr>
          <w:rFonts w:ascii="Times New Roman" w:hAnsi="Times New Roman" w:eastAsia="仿宋" w:cs="仿宋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种。时间</w:t>
      </w:r>
      <w:r>
        <w:rPr>
          <w:rFonts w:ascii="Times New Roman" w:hAnsi="Times New Roman" w:eastAsia="仿宋" w:cs="仿宋"/>
          <w:kern w:val="0"/>
          <w:sz w:val="32"/>
          <w:szCs w:val="32"/>
        </w:rPr>
        <w:t>30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分钟，总分5</w:t>
      </w:r>
      <w:r>
        <w:rPr>
          <w:rFonts w:ascii="Times New Roman" w:hAnsi="Times New Roman" w:eastAsia="仿宋" w:cs="仿宋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分。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2</w:t>
      </w:r>
      <w:r>
        <w:rPr>
          <w:rFonts w:ascii="Times New Roman" w:hAnsi="Times New Roman" w:eastAsia="仿宋" w:cs="仿宋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评分标准</w:t>
      </w:r>
    </w:p>
    <w:tbl>
      <w:tblPr>
        <w:tblStyle w:val="21"/>
        <w:tblW w:w="4960" w:type="pct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149"/>
        <w:gridCol w:w="4476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4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序号</w:t>
            </w:r>
          </w:p>
        </w:tc>
        <w:tc>
          <w:tcPr>
            <w:tcW w:w="1271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评分要点</w:t>
            </w:r>
          </w:p>
        </w:tc>
        <w:tc>
          <w:tcPr>
            <w:tcW w:w="264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评分依据</w:t>
            </w:r>
          </w:p>
        </w:tc>
        <w:tc>
          <w:tcPr>
            <w:tcW w:w="63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7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1271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动物品种识别</w:t>
            </w:r>
          </w:p>
        </w:tc>
        <w:tc>
          <w:tcPr>
            <w:tcW w:w="2647" w:type="pct"/>
            <w:vAlign w:val="center"/>
          </w:tcPr>
          <w:p>
            <w:pPr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判断识别常见品种（1分/个）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7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2</w:t>
            </w:r>
          </w:p>
        </w:tc>
        <w:tc>
          <w:tcPr>
            <w:tcW w:w="1271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饲料原料识别</w:t>
            </w:r>
          </w:p>
        </w:tc>
        <w:tc>
          <w:tcPr>
            <w:tcW w:w="2647" w:type="pct"/>
            <w:vAlign w:val="center"/>
          </w:tcPr>
          <w:p>
            <w:pPr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判断识别常见饲料原料（1分/个）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20</w:t>
            </w:r>
          </w:p>
        </w:tc>
      </w:tr>
    </w:tbl>
    <w:p>
      <w:pPr>
        <w:spacing w:line="560" w:lineRule="exact"/>
        <w:ind w:firstLine="640" w:firstLineChars="200"/>
        <w:outlineLvl w:val="1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（三）土壤pH值测定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1</w:t>
      </w:r>
      <w:r>
        <w:rPr>
          <w:rFonts w:ascii="Times New Roman" w:hAnsi="Times New Roman" w:eastAsia="仿宋" w:cs="仿宋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考试样题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规定时间内按规范操作完成给定土壤样品</w:t>
      </w:r>
      <w:r>
        <w:rPr>
          <w:rFonts w:ascii="Times New Roman" w:hAnsi="Times New Roman" w:eastAsia="仿宋" w:cs="仿宋"/>
          <w:kern w:val="0"/>
          <w:sz w:val="32"/>
          <w:szCs w:val="32"/>
        </w:rPr>
        <w:t>pH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值测定，并能判别酸碱度。时间为</w:t>
      </w:r>
      <w:r>
        <w:rPr>
          <w:rFonts w:ascii="Times New Roman" w:hAnsi="Times New Roman" w:eastAsia="仿宋" w:cs="仿宋"/>
          <w:kern w:val="0"/>
          <w:sz w:val="32"/>
          <w:szCs w:val="32"/>
        </w:rPr>
        <w:t>30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分钟，总分为</w:t>
      </w:r>
      <w:r>
        <w:rPr>
          <w:rFonts w:ascii="Times New Roman" w:hAnsi="Times New Roman" w:eastAsia="仿宋" w:cs="仿宋"/>
          <w:kern w:val="0"/>
          <w:sz w:val="32"/>
          <w:szCs w:val="32"/>
        </w:rPr>
        <w:t>50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分。</w:t>
      </w:r>
    </w:p>
    <w:p>
      <w:pPr>
        <w:snapToGrid w:val="0"/>
        <w:spacing w:line="400" w:lineRule="exact"/>
        <w:jc w:val="center"/>
        <w:rPr>
          <w:rFonts w:ascii="Times New Roman" w:hAnsi="Times New Roman" w:eastAsia="宋体"/>
          <w:b/>
          <w:color w:val="000000"/>
          <w:kern w:val="0"/>
          <w:sz w:val="24"/>
          <w:szCs w:val="21"/>
        </w:rPr>
      </w:pPr>
      <w:r>
        <w:rPr>
          <w:rFonts w:hint="eastAsia" w:ascii="Times New Roman" w:hAnsi="Times New Roman" w:eastAsia="仿宋" w:cs="仿宋"/>
          <w:b/>
          <w:kern w:val="0"/>
          <w:sz w:val="24"/>
          <w:szCs w:val="21"/>
        </w:rPr>
        <w:t>土壤</w:t>
      </w:r>
      <w:r>
        <w:rPr>
          <w:rFonts w:ascii="Times New Roman" w:hAnsi="Times New Roman" w:eastAsia="仿宋" w:cs="仿宋"/>
          <w:b/>
          <w:kern w:val="0"/>
          <w:sz w:val="24"/>
          <w:szCs w:val="21"/>
        </w:rPr>
        <w:t>pH</w:t>
      </w:r>
      <w:r>
        <w:rPr>
          <w:rFonts w:hint="eastAsia" w:ascii="Times New Roman" w:hAnsi="Times New Roman" w:eastAsia="仿宋" w:cs="仿宋"/>
          <w:b/>
          <w:kern w:val="0"/>
          <w:sz w:val="24"/>
          <w:szCs w:val="21"/>
        </w:rPr>
        <w:t>值测定记录表</w:t>
      </w:r>
    </w:p>
    <w:tbl>
      <w:tblPr>
        <w:tblStyle w:val="2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300"/>
        <w:gridCol w:w="1302"/>
        <w:gridCol w:w="970"/>
        <w:gridCol w:w="1050"/>
        <w:gridCol w:w="1967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样品号</w:t>
            </w:r>
          </w:p>
        </w:tc>
        <w:tc>
          <w:tcPr>
            <w:tcW w:w="764" w:type="pct"/>
            <w:vAlign w:val="center"/>
          </w:tcPr>
          <w:p>
            <w:pPr>
              <w:spacing w:line="400" w:lineRule="exact"/>
              <w:ind w:left="-208" w:leftChars="-99" w:firstLine="208" w:firstLineChars="87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称取量</w:t>
            </w:r>
          </w:p>
        </w:tc>
        <w:tc>
          <w:tcPr>
            <w:tcW w:w="569" w:type="pct"/>
            <w:vAlign w:val="center"/>
          </w:tcPr>
          <w:p>
            <w:pPr>
              <w:spacing w:line="400" w:lineRule="exact"/>
              <w:ind w:left="-208" w:leftChars="-99" w:firstLine="208" w:firstLineChars="87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温度</w:t>
            </w: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pH值</w:t>
            </w:r>
          </w:p>
        </w:tc>
        <w:tc>
          <w:tcPr>
            <w:tcW w:w="115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土壤酸碱性</w:t>
            </w:r>
          </w:p>
        </w:tc>
        <w:tc>
          <w:tcPr>
            <w:tcW w:w="56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67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67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2</w:t>
      </w:r>
      <w:r>
        <w:rPr>
          <w:rFonts w:ascii="Times New Roman" w:hAnsi="Times New Roman" w:eastAsia="仿宋" w:cs="仿宋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评分标准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5528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评分要点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评分依据</w:t>
            </w:r>
          </w:p>
        </w:tc>
        <w:tc>
          <w:tcPr>
            <w:tcW w:w="7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4" w:type="dxa"/>
            <w:vMerge w:val="restart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土样称取与浸提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正确检查和调平电子天平，操作规范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04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准确称取18目风干土样10.00g两份，误差小于0.01g，于50mL高型烧杯中，标签粘贴（书写）规范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04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用量筒准确量取25mL去离子水加入高型烧杯中，并用玻璃棒搅拌1min，静置备用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4" w:type="dxa"/>
            <w:vMerge w:val="restart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pH计调试与校正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用温度计准确测量待测液温度，并根据待测液温度，使用pH计温度补偿旋钮，操作规范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4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准确使用</w:t>
            </w:r>
            <w:r>
              <w:rPr>
                <w:rFonts w:ascii="Times New Roman" w:hAnsi="Times New Roman" w:eastAsia="仿宋" w:cs="仿宋"/>
                <w:color w:val="000000"/>
                <w:sz w:val="24"/>
              </w:rPr>
              <w:t>pH 6.86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标准缓冲液粉剂配制标准缓冲液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利用pH 6.86和pH 9.18标准缓冲液，校正pH计，操作规范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restart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pH值测定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使用pH计测定两份样品，读数正确，操作规范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</w:trPr>
        <w:tc>
          <w:tcPr>
            <w:tcW w:w="704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pH计使用完毕后用去离子水冲洗电极，并用吸水纸条将其吸干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ascii="Times New Roman" w:hAnsi="Times New Roman" w:eastAsia="仿宋" w:cs="仿宋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4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两份样品读数偏差小于0.2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704" w:type="dxa"/>
            <w:vMerge w:val="restart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数据处理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能将称量的结果，准确填写到相关表格中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4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并能根据测定结果，判断土壤酸碱度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0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熟练程度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能在规定时间内完成，操作规范、动作流畅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0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文明操作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及时清理工作台面，并将相关仪器用具简单清洗，物品及器具摆放整齐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5</w:t>
            </w:r>
          </w:p>
        </w:tc>
      </w:tr>
    </w:tbl>
    <w:p>
      <w:pPr>
        <w:snapToGrid w:val="0"/>
        <w:spacing w:line="560" w:lineRule="exact"/>
        <w:ind w:firstLine="640" w:firstLineChars="200"/>
        <w:outlineLvl w:val="1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（四）注射器的使用及药物配制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1</w:t>
      </w:r>
      <w:r>
        <w:rPr>
          <w:rFonts w:ascii="Times New Roman" w:hAnsi="Times New Roman" w:eastAsia="仿宋" w:cs="仿宋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考试样题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在规定时间内按规范操作完成兽用金属注射器的部件识别、安装、调试、抽液，及药物的稀释和吸取，时间</w:t>
      </w:r>
      <w:r>
        <w:rPr>
          <w:rFonts w:ascii="Times New Roman" w:hAnsi="Times New Roman" w:eastAsia="仿宋" w:cs="仿宋"/>
          <w:kern w:val="0"/>
          <w:sz w:val="32"/>
          <w:szCs w:val="32"/>
        </w:rPr>
        <w:t>30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分钟，总分5</w:t>
      </w:r>
      <w:r>
        <w:rPr>
          <w:rFonts w:ascii="Times New Roman" w:hAnsi="Times New Roman" w:eastAsia="仿宋" w:cs="仿宋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分。</w:t>
      </w:r>
    </w:p>
    <w:p>
      <w:pPr>
        <w:snapToGrid w:val="0"/>
        <w:spacing w:line="400" w:lineRule="exact"/>
        <w:jc w:val="center"/>
        <w:rPr>
          <w:rFonts w:ascii="Times New Roman" w:hAnsi="Times New Roman" w:eastAsia="仿宋" w:cs="仿宋"/>
          <w:b/>
          <w:kern w:val="0"/>
          <w:sz w:val="24"/>
          <w:szCs w:val="21"/>
        </w:rPr>
      </w:pPr>
      <w:r>
        <w:rPr>
          <w:rFonts w:hint="eastAsia" w:ascii="Times New Roman" w:hAnsi="Times New Roman" w:eastAsia="仿宋" w:cs="仿宋"/>
          <w:b/>
          <w:kern w:val="0"/>
          <w:sz w:val="24"/>
          <w:szCs w:val="21"/>
        </w:rPr>
        <w:t>兽用金属注射器部件记录表</w:t>
      </w:r>
    </w:p>
    <w:tbl>
      <w:tblPr>
        <w:tblStyle w:val="21"/>
        <w:tblW w:w="8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4221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序号</w:t>
            </w:r>
          </w:p>
        </w:tc>
        <w:tc>
          <w:tcPr>
            <w:tcW w:w="4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部件名称</w:t>
            </w:r>
          </w:p>
        </w:tc>
        <w:tc>
          <w:tcPr>
            <w:tcW w:w="29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4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29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2</w:t>
            </w:r>
          </w:p>
        </w:tc>
        <w:tc>
          <w:tcPr>
            <w:tcW w:w="4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29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…</w:t>
            </w:r>
          </w:p>
        </w:tc>
        <w:tc>
          <w:tcPr>
            <w:tcW w:w="4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…</w:t>
            </w:r>
          </w:p>
        </w:tc>
        <w:tc>
          <w:tcPr>
            <w:tcW w:w="29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…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ascii="Times New Roman" w:hAnsi="Times New Roman" w:eastAsia="仿宋" w:cs="仿宋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评分标准</w:t>
      </w:r>
    </w:p>
    <w:tbl>
      <w:tblPr>
        <w:tblStyle w:val="21"/>
        <w:tblW w:w="8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5387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评分要点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评分依据</w:t>
            </w:r>
          </w:p>
        </w:tc>
        <w:tc>
          <w:tcPr>
            <w:tcW w:w="7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0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部件名称识别</w:t>
            </w:r>
          </w:p>
        </w:tc>
        <w:tc>
          <w:tcPr>
            <w:tcW w:w="5387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分别写出各零部件名称</w:t>
            </w:r>
          </w:p>
        </w:tc>
        <w:tc>
          <w:tcPr>
            <w:tcW w:w="77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安装</w:t>
            </w:r>
          </w:p>
        </w:tc>
        <w:tc>
          <w:tcPr>
            <w:tcW w:w="5387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安装规范，刻度管安装方向正确</w:t>
            </w:r>
          </w:p>
        </w:tc>
        <w:tc>
          <w:tcPr>
            <w:tcW w:w="77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调试与气密性检查</w:t>
            </w:r>
          </w:p>
        </w:tc>
        <w:tc>
          <w:tcPr>
            <w:tcW w:w="5387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调试活塞正确，气密性检查正确</w:t>
            </w:r>
          </w:p>
        </w:tc>
        <w:tc>
          <w:tcPr>
            <w:tcW w:w="77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0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抽液</w:t>
            </w:r>
          </w:p>
        </w:tc>
        <w:tc>
          <w:tcPr>
            <w:tcW w:w="5387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持针、持瓶姿式正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确，抽取定量蒸馏</w:t>
            </w:r>
            <w:r>
              <w:rPr>
                <w:rFonts w:hint="eastAsia" w:ascii="Times New Roman" w:hAnsi="Times New Roman" w:eastAsia="仿宋" w:cs="仿宋"/>
                <w:sz w:val="24"/>
              </w:rPr>
              <w:t>水，无气泡或气泡少，排气动作准确</w:t>
            </w:r>
          </w:p>
        </w:tc>
        <w:tc>
          <w:tcPr>
            <w:tcW w:w="77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0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稀释药物</w:t>
            </w:r>
          </w:p>
        </w:tc>
        <w:tc>
          <w:tcPr>
            <w:tcW w:w="5387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一次性注射器取用规范，打开安瓿瓶的方法正确，吸取灭菌用水熟练，稀释西林瓶中的药品正确，持针、持瓶操作规范，药品溶解完全，药液不喷洒</w:t>
            </w:r>
          </w:p>
        </w:tc>
        <w:tc>
          <w:tcPr>
            <w:tcW w:w="77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0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吸取药物</w:t>
            </w:r>
          </w:p>
        </w:tc>
        <w:tc>
          <w:tcPr>
            <w:tcW w:w="5387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从西林瓶中吸取已溶解的药液，吸液时操作规范，药液吸取量精确，操作过程中针尖不出现毛刺</w:t>
            </w:r>
          </w:p>
        </w:tc>
        <w:tc>
          <w:tcPr>
            <w:tcW w:w="77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器材整理</w:t>
            </w:r>
          </w:p>
        </w:tc>
        <w:tc>
          <w:tcPr>
            <w:tcW w:w="5387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注射器复位正确，台面清洁</w:t>
            </w:r>
          </w:p>
        </w:tc>
        <w:tc>
          <w:tcPr>
            <w:tcW w:w="7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</w:rPr>
              <w:t>2</w:t>
            </w:r>
          </w:p>
        </w:tc>
      </w:tr>
    </w:tbl>
    <w:p>
      <w:pPr>
        <w:rPr>
          <w:rFonts w:ascii="Times New Roman" w:hAnsi="Times New Roman" w:eastAsia="仿宋" w:cs="仿宋"/>
          <w:color w:val="FF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074B63-2393-4C32-AA14-1DE1BD8F01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7D01CD1-D31F-4FA2-8AFE-B2CB5C204A3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B23D63E-A015-498F-AAB4-3E6692B9855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EFCC18F-9418-43C2-AEC8-BC3833B133D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20E7270-1E3A-491C-801D-D799261E68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8122535"/>
    </w:sdtPr>
    <w:sdtEndPr>
      <w:rPr>
        <w:rFonts w:ascii="Times New Roman" w:hAnsi="Times New Roman" w:cs="Times New Roman"/>
      </w:rPr>
    </w:sdtEndPr>
    <w:sdtContent>
      <w:sdt>
        <w:sdtPr>
          <w:id w:val="-1769616900"/>
        </w:sdtPr>
        <w:sdtEndPr>
          <w:rPr>
            <w:rFonts w:ascii="Times New Roman" w:hAnsi="Times New Roman" w:cs="Times New Roman"/>
          </w:rPr>
        </w:sdtEndPr>
        <w:sdtContent>
          <w:p>
            <w:pPr>
              <w:pStyle w:val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</w:rPr>
              <w:instrText xml:space="preserve">PAGE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</w:rPr>
              <w:instrText xml:space="preserve">NUMPAGES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24662"/>
    <w:multiLevelType w:val="multilevel"/>
    <w:tmpl w:val="21324662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pStyle w:val="3"/>
      <w:isLgl/>
      <w:lvlText w:val="%1.%2"/>
      <w:lvlJc w:val="left"/>
      <w:pPr>
        <w:ind w:left="576" w:hanging="576"/>
      </w:pPr>
      <w:rPr>
        <w:rFonts w:hint="eastAsia"/>
        <w:lang w:val="en-US"/>
      </w:rPr>
    </w:lvl>
    <w:lvl w:ilvl="2" w:tentative="0">
      <w:start w:val="1"/>
      <w:numFmt w:val="decimal"/>
      <w:pStyle w:val="4"/>
      <w:isLgl/>
      <w:lvlText w:val="%1.%2.%3"/>
      <w:lvlJc w:val="left"/>
      <w:pPr>
        <w:ind w:left="4974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ind w:left="864" w:hanging="864"/>
      </w:pPr>
      <w:rPr>
        <w:rFonts w:hint="eastAsia"/>
        <w:lang w:val="en-US"/>
      </w:rPr>
    </w:lvl>
    <w:lvl w:ilvl="4" w:tentative="0">
      <w:start w:val="1"/>
      <w:numFmt w:val="decimal"/>
      <w:pStyle w:val="6"/>
      <w:isLgl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2EE97B71"/>
    <w:multiLevelType w:val="singleLevel"/>
    <w:tmpl w:val="2EE97B7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38"/>
    <w:rsid w:val="000143E3"/>
    <w:rsid w:val="00020A8E"/>
    <w:rsid w:val="00064D9C"/>
    <w:rsid w:val="000E4A04"/>
    <w:rsid w:val="00156969"/>
    <w:rsid w:val="00164638"/>
    <w:rsid w:val="00173F74"/>
    <w:rsid w:val="001C57D6"/>
    <w:rsid w:val="001F19EE"/>
    <w:rsid w:val="00271402"/>
    <w:rsid w:val="002B1B2F"/>
    <w:rsid w:val="002C08FB"/>
    <w:rsid w:val="002D12E5"/>
    <w:rsid w:val="00347C6A"/>
    <w:rsid w:val="0036131D"/>
    <w:rsid w:val="00362978"/>
    <w:rsid w:val="003B5438"/>
    <w:rsid w:val="003C5F9E"/>
    <w:rsid w:val="003D6897"/>
    <w:rsid w:val="00410F6F"/>
    <w:rsid w:val="00413168"/>
    <w:rsid w:val="0041756A"/>
    <w:rsid w:val="00422C33"/>
    <w:rsid w:val="00427B27"/>
    <w:rsid w:val="0045253D"/>
    <w:rsid w:val="00476D2D"/>
    <w:rsid w:val="004D210F"/>
    <w:rsid w:val="00522380"/>
    <w:rsid w:val="00542860"/>
    <w:rsid w:val="005579B5"/>
    <w:rsid w:val="00580301"/>
    <w:rsid w:val="006152CE"/>
    <w:rsid w:val="00630D75"/>
    <w:rsid w:val="00641F91"/>
    <w:rsid w:val="00643059"/>
    <w:rsid w:val="0065524E"/>
    <w:rsid w:val="006713B0"/>
    <w:rsid w:val="006E16ED"/>
    <w:rsid w:val="006F5C66"/>
    <w:rsid w:val="007152DB"/>
    <w:rsid w:val="00715567"/>
    <w:rsid w:val="00732D69"/>
    <w:rsid w:val="00756F5E"/>
    <w:rsid w:val="007934AC"/>
    <w:rsid w:val="007C4B66"/>
    <w:rsid w:val="007C5594"/>
    <w:rsid w:val="007C5CD6"/>
    <w:rsid w:val="007C660C"/>
    <w:rsid w:val="007F0F52"/>
    <w:rsid w:val="007F3223"/>
    <w:rsid w:val="00826C88"/>
    <w:rsid w:val="008825EC"/>
    <w:rsid w:val="008855AC"/>
    <w:rsid w:val="008D6EAE"/>
    <w:rsid w:val="0093138D"/>
    <w:rsid w:val="00992561"/>
    <w:rsid w:val="009F7CDA"/>
    <w:rsid w:val="00A1314E"/>
    <w:rsid w:val="00A353FF"/>
    <w:rsid w:val="00A65D20"/>
    <w:rsid w:val="00A81623"/>
    <w:rsid w:val="00AA74AA"/>
    <w:rsid w:val="00AF54A9"/>
    <w:rsid w:val="00B172FC"/>
    <w:rsid w:val="00B33151"/>
    <w:rsid w:val="00B75939"/>
    <w:rsid w:val="00B92EC4"/>
    <w:rsid w:val="00BF129B"/>
    <w:rsid w:val="00C31103"/>
    <w:rsid w:val="00C922CB"/>
    <w:rsid w:val="00CF48F7"/>
    <w:rsid w:val="00D51A00"/>
    <w:rsid w:val="00DA3341"/>
    <w:rsid w:val="00DD570F"/>
    <w:rsid w:val="00DE4B85"/>
    <w:rsid w:val="00E13302"/>
    <w:rsid w:val="00E371E1"/>
    <w:rsid w:val="00E52057"/>
    <w:rsid w:val="00F00CC8"/>
    <w:rsid w:val="00F211A4"/>
    <w:rsid w:val="00F603FA"/>
    <w:rsid w:val="00F60D40"/>
    <w:rsid w:val="00F831B2"/>
    <w:rsid w:val="00FB697E"/>
    <w:rsid w:val="00FB7251"/>
    <w:rsid w:val="00FE13D3"/>
    <w:rsid w:val="00FE286D"/>
    <w:rsid w:val="023A193D"/>
    <w:rsid w:val="0B3B0803"/>
    <w:rsid w:val="0B7E70C1"/>
    <w:rsid w:val="10DF25B1"/>
    <w:rsid w:val="16475888"/>
    <w:rsid w:val="19EE6047"/>
    <w:rsid w:val="1B283543"/>
    <w:rsid w:val="1F4D55E4"/>
    <w:rsid w:val="21B14FAD"/>
    <w:rsid w:val="22DE2D0C"/>
    <w:rsid w:val="2A901BE6"/>
    <w:rsid w:val="2B9108F6"/>
    <w:rsid w:val="2ED50D0B"/>
    <w:rsid w:val="302B43D3"/>
    <w:rsid w:val="32723C61"/>
    <w:rsid w:val="38006091"/>
    <w:rsid w:val="38844F6F"/>
    <w:rsid w:val="397C36E6"/>
    <w:rsid w:val="47011AD5"/>
    <w:rsid w:val="48245C19"/>
    <w:rsid w:val="4B791802"/>
    <w:rsid w:val="5B6000E9"/>
    <w:rsid w:val="642854D6"/>
    <w:rsid w:val="661104F4"/>
    <w:rsid w:val="673159DC"/>
    <w:rsid w:val="694F6AEC"/>
    <w:rsid w:val="6EC2363D"/>
    <w:rsid w:val="6F087D63"/>
    <w:rsid w:val="70A20554"/>
    <w:rsid w:val="793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pageBreakBefore/>
      <w:numPr>
        <w:ilvl w:val="0"/>
        <w:numId w:val="1"/>
      </w:numPr>
      <w:spacing w:before="340" w:after="330" w:line="578" w:lineRule="auto"/>
      <w:jc w:val="left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qFormat/>
    <w:uiPriority w:val="0"/>
    <w:pPr>
      <w:keepLines/>
      <w:numPr>
        <w:ilvl w:val="1"/>
        <w:numId w:val="1"/>
      </w:numPr>
      <w:spacing w:before="260" w:after="260" w:line="415" w:lineRule="auto"/>
      <w:jc w:val="left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0"/>
    <w:pPr>
      <w:keepNext/>
      <w:keepLines/>
      <w:numPr>
        <w:ilvl w:val="2"/>
        <w:numId w:val="1"/>
      </w:numPr>
      <w:spacing w:before="120" w:after="120" w:line="415" w:lineRule="auto"/>
      <w:jc w:val="left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34"/>
    <w:qFormat/>
    <w:uiPriority w:val="0"/>
    <w:pPr>
      <w:keepNext/>
      <w:keepLines/>
      <w:numPr>
        <w:ilvl w:val="3"/>
        <w:numId w:val="1"/>
      </w:numPr>
      <w:spacing w:line="360" w:lineRule="auto"/>
      <w:outlineLvl w:val="3"/>
    </w:pPr>
    <w:rPr>
      <w:rFonts w:ascii="仿宋" w:hAnsi="仿宋" w:eastAsia="仿宋" w:cs="Times New Roman"/>
      <w:bCs/>
      <w:sz w:val="28"/>
      <w:szCs w:val="28"/>
    </w:rPr>
  </w:style>
  <w:style w:type="paragraph" w:styleId="6">
    <w:name w:val="heading 5"/>
    <w:basedOn w:val="1"/>
    <w:next w:val="1"/>
    <w:link w:val="35"/>
    <w:qFormat/>
    <w:uiPriority w:val="0"/>
    <w:pPr>
      <w:keepNext/>
      <w:keepLines/>
      <w:numPr>
        <w:ilvl w:val="4"/>
        <w:numId w:val="1"/>
      </w:numPr>
      <w:spacing w:before="120" w:after="120" w:line="377" w:lineRule="auto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paragraph" w:styleId="7">
    <w:name w:val="heading 6"/>
    <w:basedOn w:val="1"/>
    <w:next w:val="1"/>
    <w:link w:val="36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paragraph" w:styleId="8">
    <w:name w:val="heading 7"/>
    <w:basedOn w:val="1"/>
    <w:next w:val="1"/>
    <w:link w:val="37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Calibri" w:hAnsi="Calibri" w:eastAsia="宋体" w:cs="Times New Roman"/>
      <w:b/>
      <w:bCs/>
      <w:sz w:val="24"/>
      <w:szCs w:val="24"/>
    </w:rPr>
  </w:style>
  <w:style w:type="paragraph" w:styleId="9">
    <w:name w:val="heading 8"/>
    <w:basedOn w:val="1"/>
    <w:next w:val="1"/>
    <w:link w:val="38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 w:eastAsia="宋体" w:cs="Times New Roman"/>
      <w:sz w:val="24"/>
      <w:szCs w:val="24"/>
    </w:rPr>
  </w:style>
  <w:style w:type="paragraph" w:styleId="10">
    <w:name w:val="heading 9"/>
    <w:basedOn w:val="1"/>
    <w:next w:val="1"/>
    <w:link w:val="39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 w:eastAsia="宋体" w:cs="Times New Roman"/>
      <w:szCs w:val="21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link w:val="57"/>
    <w:qFormat/>
    <w:uiPriority w:val="0"/>
    <w:pPr>
      <w:spacing w:beforeLines="50" w:afterLines="50" w:line="360" w:lineRule="auto"/>
      <w:ind w:firstLine="480" w:firstLineChars="200"/>
    </w:pPr>
    <w:rPr>
      <w:rFonts w:ascii="宋体" w:hAnsi="宋体" w:eastAsia="宋体"/>
      <w:sz w:val="24"/>
      <w:szCs w:val="24"/>
    </w:rPr>
  </w:style>
  <w:style w:type="paragraph" w:styleId="12">
    <w:name w:val="caption"/>
    <w:basedOn w:val="1"/>
    <w:next w:val="1"/>
    <w:link w:val="42"/>
    <w:qFormat/>
    <w:uiPriority w:val="0"/>
    <w:pPr>
      <w:widowControl/>
      <w:spacing w:before="120" w:after="240"/>
      <w:jc w:val="center"/>
    </w:pPr>
    <w:rPr>
      <w:rFonts w:ascii="Times New Roman" w:hAnsi="Times New Roman" w:eastAsia="宋体"/>
      <w:bCs/>
      <w:szCs w:val="21"/>
    </w:rPr>
  </w:style>
  <w:style w:type="paragraph" w:styleId="13">
    <w:name w:val="annotation text"/>
    <w:basedOn w:val="1"/>
    <w:link w:val="61"/>
    <w:unhideWhenUsed/>
    <w:qFormat/>
    <w:uiPriority w:val="0"/>
    <w:pPr>
      <w:jc w:val="left"/>
    </w:pPr>
  </w:style>
  <w:style w:type="paragraph" w:styleId="14">
    <w:name w:val="Plain Text"/>
    <w:basedOn w:val="1"/>
    <w:link w:val="43"/>
    <w:qFormat/>
    <w:uiPriority w:val="0"/>
    <w:rPr>
      <w:rFonts w:ascii="宋体" w:hAnsi="Courier New" w:eastAsia="宋体" w:cs="Courier New"/>
      <w:szCs w:val="21"/>
    </w:rPr>
  </w:style>
  <w:style w:type="paragraph" w:styleId="15">
    <w:name w:val="Balloon Text"/>
    <w:basedOn w:val="1"/>
    <w:link w:val="65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16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HTML Preformatted"/>
    <w:basedOn w:val="1"/>
    <w:link w:val="44"/>
    <w:unhideWhenUsed/>
    <w:qFormat/>
    <w:uiPriority w:val="99"/>
    <w:rPr>
      <w:rFonts w:ascii="Courier New" w:hAnsi="Courier New" w:eastAsia="宋体" w:cs="Courier New"/>
      <w:sz w:val="28"/>
    </w:rPr>
  </w:style>
  <w:style w:type="paragraph" w:styleId="19">
    <w:name w:val="Title"/>
    <w:basedOn w:val="1"/>
    <w:next w:val="1"/>
    <w:link w:val="4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20">
    <w:name w:val="annotation subject"/>
    <w:basedOn w:val="13"/>
    <w:next w:val="13"/>
    <w:link w:val="40"/>
    <w:qFormat/>
    <w:uiPriority w:val="0"/>
    <w:rPr>
      <w:rFonts w:ascii="Times New Roman" w:hAnsi="Times New Roman" w:eastAsia="宋体"/>
      <w:b/>
      <w:bCs/>
      <w:szCs w:val="24"/>
    </w:rPr>
  </w:style>
  <w:style w:type="table" w:styleId="22">
    <w:name w:val="Table Grid"/>
    <w:basedOn w:val="2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qFormat/>
    <w:uiPriority w:val="22"/>
    <w:rPr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FollowedHyperlink"/>
    <w:unhideWhenUsed/>
    <w:qFormat/>
    <w:uiPriority w:val="99"/>
    <w:rPr>
      <w:color w:val="800080"/>
      <w:u w:val="single"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0"/>
    <w:rPr>
      <w:sz w:val="21"/>
      <w:szCs w:val="21"/>
    </w:rPr>
  </w:style>
  <w:style w:type="character" w:customStyle="1" w:styleId="29">
    <w:name w:val="页眉 字符"/>
    <w:basedOn w:val="23"/>
    <w:link w:val="17"/>
    <w:qFormat/>
    <w:uiPriority w:val="99"/>
    <w:rPr>
      <w:sz w:val="18"/>
      <w:szCs w:val="18"/>
    </w:rPr>
  </w:style>
  <w:style w:type="character" w:customStyle="1" w:styleId="30">
    <w:name w:val="页脚 字符"/>
    <w:basedOn w:val="23"/>
    <w:link w:val="16"/>
    <w:qFormat/>
    <w:uiPriority w:val="99"/>
    <w:rPr>
      <w:sz w:val="18"/>
      <w:szCs w:val="18"/>
    </w:rPr>
  </w:style>
  <w:style w:type="character" w:customStyle="1" w:styleId="31">
    <w:name w:val="标题 1 字符"/>
    <w:basedOn w:val="23"/>
    <w:link w:val="2"/>
    <w:qFormat/>
    <w:uiPriority w:val="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32">
    <w:name w:val="标题 2 字符"/>
    <w:basedOn w:val="23"/>
    <w:link w:val="3"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33">
    <w:name w:val="标题 3 字符"/>
    <w:basedOn w:val="23"/>
    <w:link w:val="4"/>
    <w:qFormat/>
    <w:uiPriority w:val="0"/>
    <w:rPr>
      <w:rFonts w:ascii="Calibri" w:hAnsi="Calibri" w:cs="Times New Roman"/>
      <w:b/>
      <w:bCs/>
      <w:sz w:val="32"/>
      <w:szCs w:val="32"/>
    </w:rPr>
  </w:style>
  <w:style w:type="character" w:customStyle="1" w:styleId="34">
    <w:name w:val="标题 4 字符"/>
    <w:basedOn w:val="23"/>
    <w:link w:val="5"/>
    <w:qFormat/>
    <w:uiPriority w:val="0"/>
    <w:rPr>
      <w:rFonts w:ascii="仿宋" w:hAnsi="仿宋" w:eastAsia="仿宋" w:cs="Times New Roman"/>
      <w:bCs/>
      <w:szCs w:val="28"/>
    </w:rPr>
  </w:style>
  <w:style w:type="character" w:customStyle="1" w:styleId="35">
    <w:name w:val="标题 5 字符"/>
    <w:basedOn w:val="23"/>
    <w:link w:val="6"/>
    <w:qFormat/>
    <w:uiPriority w:val="0"/>
    <w:rPr>
      <w:rFonts w:ascii="Calibri" w:hAnsi="Calibri" w:cs="Times New Roman"/>
      <w:b/>
      <w:bCs/>
      <w:szCs w:val="28"/>
    </w:rPr>
  </w:style>
  <w:style w:type="character" w:customStyle="1" w:styleId="36">
    <w:name w:val="标题 6 字符"/>
    <w:basedOn w:val="23"/>
    <w:link w:val="7"/>
    <w:qFormat/>
    <w:uiPriority w:val="0"/>
    <w:rPr>
      <w:rFonts w:ascii="Cambria" w:hAnsi="Cambria" w:cs="Times New Roman"/>
      <w:b/>
      <w:bCs/>
      <w:sz w:val="24"/>
      <w:szCs w:val="24"/>
    </w:rPr>
  </w:style>
  <w:style w:type="character" w:customStyle="1" w:styleId="37">
    <w:name w:val="标题 7 字符"/>
    <w:basedOn w:val="23"/>
    <w:link w:val="8"/>
    <w:qFormat/>
    <w:uiPriority w:val="0"/>
    <w:rPr>
      <w:rFonts w:ascii="Calibri" w:hAnsi="Calibri" w:cs="Times New Roman"/>
      <w:b/>
      <w:bCs/>
      <w:sz w:val="24"/>
      <w:szCs w:val="24"/>
    </w:rPr>
  </w:style>
  <w:style w:type="character" w:customStyle="1" w:styleId="38">
    <w:name w:val="标题 8 字符"/>
    <w:basedOn w:val="23"/>
    <w:link w:val="9"/>
    <w:qFormat/>
    <w:uiPriority w:val="0"/>
    <w:rPr>
      <w:rFonts w:ascii="Cambria" w:hAnsi="Cambria" w:cs="Times New Roman"/>
      <w:sz w:val="24"/>
      <w:szCs w:val="24"/>
    </w:rPr>
  </w:style>
  <w:style w:type="character" w:customStyle="1" w:styleId="39">
    <w:name w:val="标题 9 字符"/>
    <w:basedOn w:val="23"/>
    <w:link w:val="10"/>
    <w:qFormat/>
    <w:uiPriority w:val="0"/>
    <w:rPr>
      <w:rFonts w:ascii="Cambria" w:hAnsi="Cambria" w:cs="Times New Roman"/>
      <w:sz w:val="21"/>
      <w:szCs w:val="21"/>
    </w:rPr>
  </w:style>
  <w:style w:type="character" w:customStyle="1" w:styleId="40">
    <w:name w:val="批注主题 字符"/>
    <w:link w:val="20"/>
    <w:qFormat/>
    <w:uiPriority w:val="0"/>
    <w:rPr>
      <w:b/>
      <w:bCs/>
      <w:sz w:val="21"/>
      <w:szCs w:val="24"/>
    </w:rPr>
  </w:style>
  <w:style w:type="character" w:customStyle="1" w:styleId="41">
    <w:name w:val="标题 字符"/>
    <w:link w:val="19"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42">
    <w:name w:val="题注 字符"/>
    <w:link w:val="12"/>
    <w:qFormat/>
    <w:uiPriority w:val="0"/>
    <w:rPr>
      <w:bCs/>
      <w:sz w:val="21"/>
      <w:szCs w:val="21"/>
    </w:rPr>
  </w:style>
  <w:style w:type="character" w:customStyle="1" w:styleId="43">
    <w:name w:val="纯文本 字符"/>
    <w:link w:val="14"/>
    <w:qFormat/>
    <w:uiPriority w:val="0"/>
    <w:rPr>
      <w:rFonts w:ascii="宋体" w:hAnsi="Courier New" w:cs="Courier New"/>
      <w:sz w:val="21"/>
      <w:szCs w:val="21"/>
    </w:rPr>
  </w:style>
  <w:style w:type="character" w:customStyle="1" w:styleId="44">
    <w:name w:val="HTML 预设格式 字符"/>
    <w:link w:val="18"/>
    <w:qFormat/>
    <w:uiPriority w:val="99"/>
    <w:rPr>
      <w:rFonts w:ascii="Courier New" w:hAnsi="Courier New" w:cs="Courier New"/>
    </w:rPr>
  </w:style>
  <w:style w:type="character" w:customStyle="1" w:styleId="45">
    <w:name w:val="批注文字 字符"/>
    <w:qFormat/>
    <w:uiPriority w:val="0"/>
    <w:rPr>
      <w:kern w:val="2"/>
      <w:sz w:val="21"/>
      <w:szCs w:val="24"/>
    </w:rPr>
  </w:style>
  <w:style w:type="character" w:customStyle="1" w:styleId="46">
    <w:name w:val="正文s Char"/>
    <w:link w:val="47"/>
    <w:qFormat/>
    <w:uiPriority w:val="0"/>
    <w:rPr>
      <w:rFonts w:ascii="Calibri" w:hAnsi="Calibri"/>
      <w:sz w:val="24"/>
    </w:rPr>
  </w:style>
  <w:style w:type="paragraph" w:customStyle="1" w:styleId="47">
    <w:name w:val="正文s"/>
    <w:basedOn w:val="1"/>
    <w:link w:val="46"/>
    <w:qFormat/>
    <w:uiPriority w:val="0"/>
    <w:pPr>
      <w:spacing w:line="360" w:lineRule="auto"/>
      <w:ind w:firstLine="480" w:firstLineChars="200"/>
    </w:pPr>
    <w:rPr>
      <w:rFonts w:ascii="Calibri" w:hAnsi="Calibri" w:eastAsia="宋体"/>
      <w:sz w:val="24"/>
    </w:rPr>
  </w:style>
  <w:style w:type="character" w:customStyle="1" w:styleId="48">
    <w:name w:val="Bid_正文 Char"/>
    <w:link w:val="49"/>
    <w:qFormat/>
    <w:uiPriority w:val="0"/>
    <w:rPr>
      <w:sz w:val="24"/>
    </w:rPr>
  </w:style>
  <w:style w:type="paragraph" w:customStyle="1" w:styleId="49">
    <w:name w:val="Bid_正文"/>
    <w:basedOn w:val="11"/>
    <w:link w:val="48"/>
    <w:qFormat/>
    <w:uiPriority w:val="0"/>
    <w:pPr>
      <w:spacing w:beforeLines="0"/>
    </w:pPr>
    <w:rPr>
      <w:rFonts w:ascii="Times New Roman" w:hAnsi="Times New Roman"/>
      <w:szCs w:val="22"/>
    </w:rPr>
  </w:style>
  <w:style w:type="character" w:customStyle="1" w:styleId="50">
    <w:name w:val="N.N.N.N Char"/>
    <w:link w:val="51"/>
    <w:qFormat/>
    <w:locked/>
    <w:uiPriority w:val="0"/>
    <w:rPr>
      <w:rFonts w:ascii="微软雅黑" w:hAnsi="微软雅黑" w:eastAsia="微软雅黑"/>
      <w:b/>
      <w:sz w:val="24"/>
      <w:szCs w:val="28"/>
    </w:rPr>
  </w:style>
  <w:style w:type="paragraph" w:customStyle="1" w:styleId="51">
    <w:name w:val="N.N.N.N"/>
    <w:basedOn w:val="1"/>
    <w:next w:val="1"/>
    <w:link w:val="50"/>
    <w:qFormat/>
    <w:uiPriority w:val="0"/>
    <w:pPr>
      <w:tabs>
        <w:tab w:val="left" w:pos="360"/>
      </w:tabs>
      <w:spacing w:beforeLines="50" w:afterLines="50" w:line="400" w:lineRule="exact"/>
      <w:ind w:right="240" w:rightChars="100"/>
      <w:jc w:val="left"/>
      <w:outlineLvl w:val="3"/>
    </w:pPr>
    <w:rPr>
      <w:rFonts w:ascii="微软雅黑" w:hAnsi="微软雅黑" w:eastAsia="微软雅黑"/>
      <w:b/>
      <w:sz w:val="24"/>
      <w:szCs w:val="28"/>
    </w:rPr>
  </w:style>
  <w:style w:type="character" w:customStyle="1" w:styleId="52">
    <w:name w:val="HTML 预设格式 Char1"/>
    <w:qFormat/>
    <w:uiPriority w:val="0"/>
    <w:rPr>
      <w:rFonts w:ascii="Courier New" w:hAnsi="Courier New" w:cs="Courier New"/>
      <w:kern w:val="2"/>
    </w:rPr>
  </w:style>
  <w:style w:type="character" w:customStyle="1" w:styleId="53">
    <w:name w:val="列出段落 Char"/>
    <w:link w:val="54"/>
    <w:qFormat/>
    <w:locked/>
    <w:uiPriority w:val="34"/>
    <w:rPr>
      <w:rFonts w:ascii="Calibri" w:hAnsi="Calibri"/>
      <w:sz w:val="21"/>
    </w:rPr>
  </w:style>
  <w:style w:type="paragraph" w:customStyle="1" w:styleId="54">
    <w:name w:val="列出段落1"/>
    <w:basedOn w:val="1"/>
    <w:link w:val="53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55">
    <w:name w:val="N.N.N Char"/>
    <w:link w:val="56"/>
    <w:qFormat/>
    <w:uiPriority w:val="0"/>
    <w:rPr>
      <w:rFonts w:ascii="微软雅黑" w:hAnsi="微软雅黑" w:eastAsia="微软雅黑"/>
      <w:b/>
      <w:szCs w:val="28"/>
    </w:rPr>
  </w:style>
  <w:style w:type="paragraph" w:customStyle="1" w:styleId="56">
    <w:name w:val="N.N.N"/>
    <w:basedOn w:val="1"/>
    <w:next w:val="1"/>
    <w:link w:val="55"/>
    <w:qFormat/>
    <w:uiPriority w:val="0"/>
    <w:pPr>
      <w:tabs>
        <w:tab w:val="left" w:pos="360"/>
      </w:tabs>
      <w:spacing w:before="156" w:after="156" w:line="480" w:lineRule="auto"/>
      <w:jc w:val="left"/>
      <w:outlineLvl w:val="2"/>
    </w:pPr>
    <w:rPr>
      <w:rFonts w:ascii="微软雅黑" w:hAnsi="微软雅黑" w:eastAsia="微软雅黑"/>
      <w:b/>
      <w:sz w:val="28"/>
      <w:szCs w:val="28"/>
    </w:rPr>
  </w:style>
  <w:style w:type="character" w:customStyle="1" w:styleId="57">
    <w:name w:val="正文缩进 字符"/>
    <w:link w:val="11"/>
    <w:qFormat/>
    <w:uiPriority w:val="0"/>
    <w:rPr>
      <w:rFonts w:ascii="宋体" w:hAnsi="宋体"/>
      <w:sz w:val="24"/>
      <w:szCs w:val="24"/>
    </w:rPr>
  </w:style>
  <w:style w:type="character" w:customStyle="1" w:styleId="58">
    <w:name w:val="p111"/>
    <w:qFormat/>
    <w:uiPriority w:val="0"/>
    <w:rPr>
      <w:rFonts w:hint="default" w:ascii="ˎ̥" w:hAnsi="ˎ̥"/>
      <w:sz w:val="22"/>
      <w:szCs w:val="22"/>
    </w:rPr>
  </w:style>
  <w:style w:type="character" w:customStyle="1" w:styleId="59">
    <w:name w:val="标题 字符1"/>
    <w:basedOn w:val="2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60">
    <w:name w:val="HTML 预设格式 字符1"/>
    <w:basedOn w:val="23"/>
    <w:semiHidden/>
    <w:qFormat/>
    <w:uiPriority w:val="99"/>
    <w:rPr>
      <w:rFonts w:ascii="Courier New" w:hAnsi="Courier New" w:cs="Courier New" w:eastAsiaTheme="minorEastAsia"/>
      <w:sz w:val="20"/>
      <w:szCs w:val="20"/>
    </w:rPr>
  </w:style>
  <w:style w:type="character" w:customStyle="1" w:styleId="61">
    <w:name w:val="批注文字 字符1"/>
    <w:basedOn w:val="23"/>
    <w:link w:val="13"/>
    <w:semiHidden/>
    <w:qFormat/>
    <w:uiPriority w:val="99"/>
    <w:rPr>
      <w:rFonts w:asciiTheme="minorHAnsi" w:hAnsiTheme="minorHAnsi" w:eastAsiaTheme="minorEastAsia"/>
      <w:sz w:val="21"/>
    </w:rPr>
  </w:style>
  <w:style w:type="character" w:customStyle="1" w:styleId="62">
    <w:name w:val="批注主题 字符1"/>
    <w:basedOn w:val="61"/>
    <w:semiHidden/>
    <w:qFormat/>
    <w:uiPriority w:val="99"/>
    <w:rPr>
      <w:rFonts w:asciiTheme="minorHAnsi" w:hAnsiTheme="minorHAnsi" w:eastAsiaTheme="minorEastAsia"/>
      <w:b/>
      <w:bCs/>
      <w:sz w:val="21"/>
    </w:rPr>
  </w:style>
  <w:style w:type="character" w:customStyle="1" w:styleId="63">
    <w:name w:val="纯文本 字符1"/>
    <w:basedOn w:val="23"/>
    <w:semiHidden/>
    <w:qFormat/>
    <w:uiPriority w:val="99"/>
    <w:rPr>
      <w:rFonts w:hAnsi="Courier New" w:cs="Courier New" w:asciiTheme="minorEastAsia" w:eastAsiaTheme="minorEastAsia"/>
      <w:sz w:val="21"/>
    </w:rPr>
  </w:style>
  <w:style w:type="paragraph" w:customStyle="1" w:styleId="64">
    <w:name w:val="_Style 56"/>
    <w:basedOn w:val="1"/>
    <w:next w:val="1"/>
    <w:qFormat/>
    <w:uiPriority w:val="0"/>
    <w:rPr>
      <w:rFonts w:ascii="Calibri" w:hAnsi="Calibri" w:eastAsia="宋体" w:cs="Times New Roman"/>
      <w:szCs w:val="24"/>
    </w:rPr>
  </w:style>
  <w:style w:type="character" w:customStyle="1" w:styleId="65">
    <w:name w:val="批注框文本 字符"/>
    <w:basedOn w:val="23"/>
    <w:link w:val="15"/>
    <w:semiHidden/>
    <w:qFormat/>
    <w:uiPriority w:val="0"/>
    <w:rPr>
      <w:rFonts w:ascii="Calibri" w:hAnsi="Calibri" w:cs="Times New Roman"/>
      <w:sz w:val="18"/>
      <w:szCs w:val="18"/>
    </w:rPr>
  </w:style>
  <w:style w:type="paragraph" w:customStyle="1" w:styleId="6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0"/>
      <w:szCs w:val="20"/>
    </w:rPr>
  </w:style>
  <w:style w:type="paragraph" w:customStyle="1" w:styleId="6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1">
    <w:name w:val="TOC 标题1"/>
    <w:basedOn w:val="2"/>
    <w:next w:val="1"/>
    <w:qFormat/>
    <w:uiPriority w:val="39"/>
    <w:pPr>
      <w:pageBreakBefore w:val="0"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7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3">
    <w:name w:val="srni列表"/>
    <w:basedOn w:val="1"/>
    <w:qFormat/>
    <w:uiPriority w:val="0"/>
    <w:pPr>
      <w:tabs>
        <w:tab w:val="left" w:pos="425"/>
      </w:tabs>
      <w:spacing w:line="560" w:lineRule="exact"/>
      <w:ind w:left="851"/>
    </w:pPr>
    <w:rPr>
      <w:rFonts w:ascii="宋体" w:hAnsi="宋体" w:eastAsia="仿宋" w:cs="Times New Roman"/>
      <w:sz w:val="28"/>
      <w:szCs w:val="24"/>
    </w:rPr>
  </w:style>
  <w:style w:type="paragraph" w:styleId="7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03A2C-DD83-4824-A589-88D001EFB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520</Words>
  <Characters>2968</Characters>
  <Lines>24</Lines>
  <Paragraphs>6</Paragraphs>
  <TotalTime>17</TotalTime>
  <ScaleCrop>false</ScaleCrop>
  <LinksUpToDate>false</LinksUpToDate>
  <CharactersWithSpaces>3482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2021-07-26T02:16:00Z</dcterms:created>
  <dc:creator>jsnlx</dc:creator>
  <cp:lastModifiedBy>不辣的皮皮特</cp:lastModifiedBy>
  <dcterms:modified xsi:type="dcterms:W3CDTF">2021-09-09T07:09:23Z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73B6B9F4E63B4181A002FCB269EE7D17</vt:lpwstr>
  </property>
</Properties>
</file>