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附件2-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360" w:lineRule="auto"/>
        <w:rPr>
          <w:rFonts w:ascii="Times New Roman" w:hAnsi="Times New Roman" w:eastAsia="黑体" w:cs="Times New Roman"/>
          <w:sz w:val="32"/>
          <w:szCs w:val="32"/>
          <w:lang w:val="zh-CN"/>
        </w:rPr>
      </w:pPr>
    </w:p>
    <w:p>
      <w:pPr>
        <w:spacing w:line="360" w:lineRule="auto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CN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CN"/>
        </w:rPr>
        <w:t>年江苏省中等职业学校学生学业水平考试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CN"/>
        </w:rPr>
        <w:t>机电类专业基本技能考试指导性实施方案</w:t>
      </w:r>
    </w:p>
    <w:p>
      <w:pPr>
        <w:jc w:val="center"/>
        <w:rPr>
          <w:rFonts w:ascii="Times New Roman" w:hAnsi="Times New Roman" w:eastAsia="宋体" w:cs="Times New Roman"/>
          <w:bCs/>
          <w:sz w:val="36"/>
          <w:szCs w:val="36"/>
        </w:rPr>
      </w:pP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一</w:t>
      </w:r>
      <w:r>
        <w:rPr>
          <w:rFonts w:ascii="Times New Roman" w:hAnsi="Times New Roman" w:eastAsia="黑体" w:cs="黑体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考试</w:t>
      </w:r>
      <w:r>
        <w:rPr>
          <w:rFonts w:ascii="Times New Roman" w:hAnsi="Times New Roman" w:eastAsia="黑体" w:cs="黑体"/>
          <w:bCs/>
          <w:kern w:val="0"/>
          <w:sz w:val="32"/>
          <w:szCs w:val="32"/>
        </w:rPr>
        <w:t>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面向全省中等职业学校（含技工院校）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2022届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机电技术应用专业、机电设备安装和维修、矿山机电、化工仪表及自动化、电机电器制造与维修等相关专业考生。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现代职教体系“3+3”、“3+4”试点项目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2022届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学生须参加考试。五年制高职学生是否参加考试，由各市教育局统筹安排。</w:t>
      </w: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二、考试内容、方式、时长及配分</w:t>
      </w:r>
    </w:p>
    <w:tbl>
      <w:tblPr>
        <w:tblStyle w:val="11"/>
        <w:tblW w:w="4926" w:type="pct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1023"/>
        <w:gridCol w:w="321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  <w:szCs w:val="24"/>
              </w:rPr>
            </w:pPr>
            <w:bookmarkStart w:id="0" w:name="_Hlk14698367"/>
            <w:r>
              <w:rPr>
                <w:rFonts w:hint="eastAsia" w:ascii="Times New Roman" w:hAnsi="Times New Roman" w:eastAsia="宋体" w:cs="仿宋"/>
                <w:b/>
                <w:sz w:val="24"/>
                <w:szCs w:val="24"/>
              </w:rPr>
              <w:t>考试内容</w:t>
            </w:r>
          </w:p>
        </w:tc>
        <w:tc>
          <w:tcPr>
            <w:tcW w:w="60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  <w:szCs w:val="24"/>
              </w:rPr>
              <w:t>方式</w:t>
            </w:r>
          </w:p>
        </w:tc>
        <w:tc>
          <w:tcPr>
            <w:tcW w:w="191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  <w:szCs w:val="24"/>
              </w:rPr>
              <w:t>时长</w:t>
            </w:r>
          </w:p>
        </w:tc>
        <w:tc>
          <w:tcPr>
            <w:tcW w:w="98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  <w:szCs w:val="24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Hans"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Hans" w:eastAsia="zh-Hans"/>
              </w:rPr>
              <w:t>电气线路安装与调试</w:t>
            </w:r>
          </w:p>
        </w:tc>
        <w:tc>
          <w:tcPr>
            <w:tcW w:w="60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Hans"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Hans" w:eastAsia="zh-Hans"/>
              </w:rPr>
              <w:t>实操</w:t>
            </w:r>
          </w:p>
        </w:tc>
        <w:tc>
          <w:tcPr>
            <w:tcW w:w="191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Hans"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Hans" w:eastAsia="zh-Hans"/>
              </w:rPr>
              <w:t>分钟</w:t>
            </w:r>
          </w:p>
        </w:tc>
        <w:tc>
          <w:tcPr>
            <w:tcW w:w="98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Hans"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Hans" w:eastAsia="zh-Hans"/>
              </w:rPr>
              <w:t>分</w:t>
            </w:r>
          </w:p>
        </w:tc>
      </w:tr>
      <w:bookmarkEnd w:id="0"/>
    </w:tbl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三</w:t>
      </w:r>
      <w:r>
        <w:rPr>
          <w:rFonts w:ascii="Times New Roman" w:hAnsi="Times New Roman" w:eastAsia="黑体" w:cs="黑体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考试</w:t>
      </w:r>
      <w:r>
        <w:rPr>
          <w:rFonts w:ascii="Times New Roman" w:hAnsi="Times New Roman" w:eastAsia="黑体" w:cs="黑体"/>
          <w:bCs/>
          <w:kern w:val="0"/>
          <w:sz w:val="32"/>
          <w:szCs w:val="32"/>
        </w:rPr>
        <w:t>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2021年11月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中旬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四、组织实施</w:t>
      </w:r>
    </w:p>
    <w:p>
      <w:pPr>
        <w:spacing w:line="360" w:lineRule="auto"/>
        <w:ind w:firstLine="643" w:firstLineChars="200"/>
        <w:outlineLvl w:val="1"/>
        <w:rPr>
          <w:rFonts w:ascii="Times New Roman" w:hAnsi="Times New Roman" w:eastAsia="仿宋" w:cs="仿宋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（一</w:t>
      </w:r>
      <w:r>
        <w:rPr>
          <w:rFonts w:ascii="Times New Roman" w:hAnsi="Times New Roman" w:eastAsia="仿宋" w:cs="仿宋"/>
          <w:b/>
          <w:kern w:val="0"/>
          <w:sz w:val="32"/>
          <w:szCs w:val="32"/>
        </w:rPr>
        <w:t>）考点设置</w:t>
      </w:r>
    </w:p>
    <w:tbl>
      <w:tblPr>
        <w:tblStyle w:val="10"/>
        <w:tblW w:w="503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294"/>
        <w:gridCol w:w="4244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城市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考点学校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电工工位数量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江苏省高淳中等专业学校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南京江宁中等专业学校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南京六合中等专业学校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无锡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江苏省江阴中等专业学校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无锡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无锡机电高等职业技术学校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江苏省沛县中等专业学校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江苏省邳州中等专业学校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江苏省睢宁中等专业学校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徐州经济技术开发区工业学校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江苏省金坛中等专业学校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常州市高级职业技术学校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江苏省常熟中等专业学校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江苏省昆山第一中等专业学校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江苏省张家港中等专业学校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南通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江苏省南通中等专业学校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南通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江苏省如东中等专业学校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南通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江苏省如皋第一中等专业学校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南通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江苏省如皋中等专业学校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南通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江苏省通州中等专业学校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连云港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江苏省赣榆中等专业学校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连云港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江苏省灌南中等专业学校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连云港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江苏省连云港中等专业学校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淮安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江苏省淮安工业中等专业学校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淮安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江苏省淮阴中等专业学校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盐城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江苏省东台中等专业学校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盐城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江苏省射阳中等专业学校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盐城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盐城机电高等职业技术学校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扬州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江苏省高邮中等专业学校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扬州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镇江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江苏省丹阳中等专业学校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镇江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江苏省扬中中等专业学校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泰州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江苏省靖江中等专业学校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泰州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江苏省泰兴中等专业学校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泰州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泰州机电高等职业技术学校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宿迁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江苏省沭阳中等专业学校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宿迁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江苏省泗阳中等专业学校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宿迁</w:t>
            </w:r>
          </w:p>
        </w:tc>
        <w:tc>
          <w:tcPr>
            <w:tcW w:w="2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江苏省宿豫中等专业学校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</w:tr>
    </w:tbl>
    <w:p>
      <w:pPr>
        <w:snapToGrid w:val="0"/>
        <w:spacing w:line="560" w:lineRule="exact"/>
        <w:ind w:firstLine="560" w:firstLineChars="200"/>
        <w:outlineLvl w:val="1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注：尚未建标准化考点的学校，可依托校内实训室开展2021年专业基本技能考试。</w:t>
      </w:r>
    </w:p>
    <w:p>
      <w:pPr>
        <w:spacing w:line="360" w:lineRule="auto"/>
        <w:ind w:firstLine="643" w:firstLineChars="200"/>
        <w:outlineLvl w:val="1"/>
        <w:rPr>
          <w:rFonts w:ascii="Times New Roman" w:hAnsi="Times New Roman" w:eastAsia="仿宋" w:cs="仿宋"/>
          <w:b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（</w:t>
      </w:r>
      <w:r>
        <w:rPr>
          <w:rFonts w:ascii="Times New Roman" w:hAnsi="Times New Roman" w:eastAsia="仿宋" w:cs="仿宋"/>
          <w:b/>
          <w:kern w:val="0"/>
          <w:sz w:val="32"/>
          <w:szCs w:val="32"/>
        </w:rPr>
        <w:t>二）</w:t>
      </w: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考试组织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省教育考试院和省中职学考办公室负责考务组织管理与协调工作，各市教育行政部门、招考系统负责具体实施。专业委员会负责协调本专业类有关考点院校，协同各设区市教育行政部门、招考部门完成本专业类专业技能考试。考点学校需组建技术团队，加强考试设备</w:t>
      </w:r>
      <w:r>
        <w:rPr>
          <w:rFonts w:ascii="仿宋" w:hAnsi="仿宋" w:eastAsia="仿宋" w:cs="仿宋"/>
          <w:bCs/>
          <w:kern w:val="0"/>
          <w:sz w:val="32"/>
          <w:szCs w:val="32"/>
        </w:rPr>
        <w:t>及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平台维护，确保正常进行。</w:t>
      </w:r>
    </w:p>
    <w:p>
      <w:pPr>
        <w:spacing w:line="360" w:lineRule="auto"/>
        <w:ind w:firstLine="643" w:firstLineChars="200"/>
        <w:outlineLvl w:val="1"/>
        <w:rPr>
          <w:rFonts w:ascii="Times New Roman" w:hAnsi="Times New Roman" w:eastAsia="仿宋" w:cs="仿宋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（</w:t>
      </w:r>
      <w:r>
        <w:rPr>
          <w:rFonts w:ascii="Times New Roman" w:hAnsi="Times New Roman" w:eastAsia="仿宋" w:cs="仿宋"/>
          <w:b/>
          <w:kern w:val="0"/>
          <w:sz w:val="32"/>
          <w:szCs w:val="32"/>
        </w:rPr>
        <w:t>三）</w:t>
      </w: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考场安排</w:t>
      </w:r>
    </w:p>
    <w:p>
      <w:pPr>
        <w:spacing w:line="540" w:lineRule="exact"/>
        <w:ind w:firstLine="645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根据“机电类技能考试考点建设标准(试行)”的</w:t>
      </w:r>
      <w:r>
        <w:rPr>
          <w:rFonts w:ascii="仿宋" w:hAnsi="仿宋" w:eastAsia="仿宋" w:cs="仿宋"/>
          <w:bCs/>
          <w:kern w:val="0"/>
          <w:sz w:val="32"/>
          <w:szCs w:val="32"/>
        </w:rPr>
        <w:t>要求，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今年安排电气线路安装与调试考场，每一考核场所原则上按40个</w:t>
      </w:r>
      <w:r>
        <w:rPr>
          <w:rFonts w:ascii="仿宋" w:hAnsi="仿宋" w:eastAsia="仿宋" w:cs="仿宋"/>
          <w:bCs/>
          <w:kern w:val="0"/>
          <w:sz w:val="32"/>
          <w:szCs w:val="32"/>
        </w:rPr>
        <w:t>工位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设置。每个考场预留5%以上的备用工位。</w:t>
      </w:r>
    </w:p>
    <w:p>
      <w:pPr>
        <w:spacing w:line="360" w:lineRule="auto"/>
        <w:ind w:firstLine="643" w:firstLineChars="200"/>
        <w:outlineLvl w:val="1"/>
        <w:rPr>
          <w:rFonts w:ascii="Times New Roman" w:hAnsi="Times New Roman" w:eastAsia="仿宋" w:cs="仿宋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（</w:t>
      </w:r>
      <w:r>
        <w:rPr>
          <w:rFonts w:ascii="Times New Roman" w:hAnsi="Times New Roman" w:eastAsia="仿宋" w:cs="仿宋"/>
          <w:b/>
          <w:kern w:val="0"/>
          <w:sz w:val="32"/>
          <w:szCs w:val="32"/>
        </w:rPr>
        <w:t>四）</w:t>
      </w: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评分方式</w:t>
      </w:r>
    </w:p>
    <w:p>
      <w:pPr>
        <w:spacing w:line="560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“</w:t>
      </w:r>
      <w:r>
        <w:rPr>
          <w:rFonts w:hint="eastAsia" w:ascii="仿宋" w:hAnsi="仿宋" w:eastAsia="仿宋"/>
          <w:bCs/>
          <w:sz w:val="32"/>
          <w:szCs w:val="32"/>
        </w:rPr>
        <w:t>电气线路安装与调试</w:t>
      </w:r>
      <w:r>
        <w:rPr>
          <w:rFonts w:ascii="仿宋" w:hAnsi="仿宋" w:eastAsia="仿宋"/>
          <w:bCs/>
          <w:sz w:val="32"/>
          <w:szCs w:val="32"/>
        </w:rPr>
        <w:t>”</w:t>
      </w:r>
      <w:r>
        <w:rPr>
          <w:rFonts w:hint="eastAsia" w:ascii="仿宋" w:hAnsi="仿宋" w:eastAsia="仿宋"/>
          <w:bCs/>
          <w:sz w:val="32"/>
          <w:szCs w:val="32"/>
        </w:rPr>
        <w:t>项目</w:t>
      </w:r>
      <w:r>
        <w:rPr>
          <w:rFonts w:ascii="仿宋" w:hAnsi="仿宋" w:eastAsia="仿宋"/>
          <w:bCs/>
          <w:sz w:val="32"/>
          <w:szCs w:val="32"/>
        </w:rPr>
        <w:t>，根据测评设备采用人</w:t>
      </w:r>
      <w:r>
        <w:rPr>
          <w:rFonts w:hint="eastAsia" w:ascii="仿宋" w:hAnsi="仿宋" w:eastAsia="仿宋"/>
          <w:bCs/>
          <w:sz w:val="32"/>
          <w:szCs w:val="32"/>
        </w:rPr>
        <w:t>工</w:t>
      </w:r>
      <w:r>
        <w:rPr>
          <w:rFonts w:ascii="仿宋" w:hAnsi="仿宋" w:eastAsia="仿宋"/>
          <w:bCs/>
          <w:sz w:val="32"/>
          <w:szCs w:val="32"/>
        </w:rPr>
        <w:t>评分</w:t>
      </w:r>
      <w:r>
        <w:rPr>
          <w:rFonts w:hint="eastAsia" w:ascii="仿宋" w:hAnsi="仿宋" w:eastAsia="仿宋"/>
          <w:bCs/>
          <w:sz w:val="32"/>
          <w:szCs w:val="32"/>
        </w:rPr>
        <w:t>，依据</w:t>
      </w:r>
      <w:r>
        <w:rPr>
          <w:rFonts w:ascii="仿宋" w:hAnsi="仿宋" w:eastAsia="仿宋"/>
          <w:bCs/>
          <w:sz w:val="32"/>
          <w:szCs w:val="32"/>
        </w:rPr>
        <w:t>评分标准，</w:t>
      </w:r>
      <w:r>
        <w:rPr>
          <w:rFonts w:hint="eastAsia" w:ascii="仿宋" w:hAnsi="仿宋" w:eastAsia="仿宋"/>
          <w:bCs/>
          <w:sz w:val="32"/>
          <w:szCs w:val="32"/>
        </w:rPr>
        <w:t>由考评</w:t>
      </w:r>
      <w:r>
        <w:rPr>
          <w:rFonts w:ascii="仿宋" w:hAnsi="仿宋" w:eastAsia="仿宋"/>
          <w:bCs/>
          <w:sz w:val="32"/>
          <w:szCs w:val="32"/>
        </w:rPr>
        <w:t>员按</w:t>
      </w:r>
      <w:r>
        <w:rPr>
          <w:rFonts w:hint="eastAsia" w:ascii="仿宋" w:hAnsi="仿宋" w:eastAsia="仿宋"/>
          <w:bCs/>
          <w:sz w:val="32"/>
          <w:szCs w:val="32"/>
        </w:rPr>
        <w:t>各</w:t>
      </w:r>
      <w:r>
        <w:rPr>
          <w:rFonts w:ascii="仿宋" w:hAnsi="仿宋" w:eastAsia="仿宋"/>
          <w:bCs/>
          <w:sz w:val="32"/>
          <w:szCs w:val="32"/>
        </w:rPr>
        <w:t>子项目评分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累计</w:t>
      </w:r>
      <w:r>
        <w:rPr>
          <w:rFonts w:hint="eastAsia" w:ascii="仿宋" w:hAnsi="仿宋" w:eastAsia="仿宋"/>
          <w:bCs/>
          <w:sz w:val="32"/>
          <w:szCs w:val="32"/>
        </w:rPr>
        <w:t>得分</w:t>
      </w:r>
      <w:r>
        <w:rPr>
          <w:rFonts w:ascii="仿宋" w:hAnsi="仿宋" w:eastAsia="仿宋"/>
          <w:bCs/>
          <w:sz w:val="32"/>
          <w:szCs w:val="32"/>
        </w:rPr>
        <w:t>为此项目</w:t>
      </w:r>
      <w:r>
        <w:rPr>
          <w:rFonts w:hint="eastAsia" w:ascii="仿宋" w:hAnsi="仿宋" w:eastAsia="仿宋"/>
          <w:bCs/>
          <w:sz w:val="32"/>
          <w:szCs w:val="32"/>
        </w:rPr>
        <w:t>分数；</w:t>
      </w:r>
      <w:r>
        <w:rPr>
          <w:rFonts w:ascii="仿宋" w:hAnsi="仿宋" w:eastAsia="仿宋"/>
          <w:bCs/>
          <w:sz w:val="32"/>
          <w:szCs w:val="32"/>
        </w:rPr>
        <w:t>两位</w:t>
      </w:r>
      <w:r>
        <w:rPr>
          <w:rFonts w:hint="eastAsia" w:ascii="仿宋" w:hAnsi="仿宋" w:eastAsia="仿宋"/>
          <w:bCs/>
          <w:sz w:val="32"/>
          <w:szCs w:val="32"/>
        </w:rPr>
        <w:t>考评</w:t>
      </w:r>
      <w:r>
        <w:rPr>
          <w:rFonts w:ascii="仿宋" w:hAnsi="仿宋" w:eastAsia="仿宋"/>
          <w:bCs/>
          <w:sz w:val="32"/>
          <w:szCs w:val="32"/>
        </w:rPr>
        <w:t>员</w:t>
      </w:r>
      <w:r>
        <w:rPr>
          <w:rFonts w:hint="eastAsia" w:ascii="仿宋" w:hAnsi="仿宋" w:eastAsia="仿宋"/>
          <w:bCs/>
          <w:sz w:val="32"/>
          <w:szCs w:val="32"/>
        </w:rPr>
        <w:t>独立</w:t>
      </w:r>
      <w:r>
        <w:rPr>
          <w:rFonts w:ascii="仿宋" w:hAnsi="仿宋" w:eastAsia="仿宋"/>
          <w:bCs/>
          <w:sz w:val="32"/>
          <w:szCs w:val="32"/>
        </w:rPr>
        <w:t>对一个考生进行评分，</w:t>
      </w:r>
      <w:r>
        <w:rPr>
          <w:rFonts w:hint="eastAsia" w:ascii="仿宋" w:hAnsi="仿宋" w:eastAsia="仿宋"/>
          <w:bCs/>
          <w:sz w:val="32"/>
          <w:szCs w:val="32"/>
        </w:rPr>
        <w:t>取</w:t>
      </w:r>
      <w:r>
        <w:rPr>
          <w:rFonts w:ascii="仿宋" w:hAnsi="仿宋" w:eastAsia="仿宋"/>
          <w:bCs/>
          <w:sz w:val="32"/>
          <w:szCs w:val="32"/>
        </w:rPr>
        <w:t>两个</w:t>
      </w:r>
      <w:r>
        <w:rPr>
          <w:rFonts w:hint="eastAsia" w:ascii="仿宋" w:hAnsi="仿宋" w:eastAsia="仿宋"/>
          <w:bCs/>
          <w:sz w:val="32"/>
          <w:szCs w:val="32"/>
        </w:rPr>
        <w:t>评分</w:t>
      </w:r>
      <w:r>
        <w:rPr>
          <w:rFonts w:ascii="仿宋" w:hAnsi="仿宋" w:eastAsia="仿宋"/>
          <w:bCs/>
          <w:sz w:val="32"/>
          <w:szCs w:val="32"/>
        </w:rPr>
        <w:t>的平均</w:t>
      </w:r>
      <w:r>
        <w:rPr>
          <w:rFonts w:hint="eastAsia" w:ascii="仿宋" w:hAnsi="仿宋" w:eastAsia="仿宋"/>
          <w:bCs/>
          <w:sz w:val="32"/>
          <w:szCs w:val="32"/>
        </w:rPr>
        <w:t>分</w:t>
      </w:r>
      <w:r>
        <w:rPr>
          <w:rFonts w:ascii="仿宋" w:hAnsi="仿宋" w:eastAsia="仿宋"/>
          <w:bCs/>
          <w:sz w:val="32"/>
          <w:szCs w:val="32"/>
        </w:rPr>
        <w:t>即为</w:t>
      </w:r>
      <w:r>
        <w:rPr>
          <w:rFonts w:hint="eastAsia" w:ascii="仿宋" w:hAnsi="仿宋" w:eastAsia="仿宋"/>
          <w:bCs/>
          <w:sz w:val="32"/>
          <w:szCs w:val="32"/>
        </w:rPr>
        <w:t>该考生</w:t>
      </w:r>
      <w:r>
        <w:rPr>
          <w:rFonts w:ascii="仿宋" w:hAnsi="仿宋" w:eastAsia="仿宋"/>
          <w:bCs/>
          <w:sz w:val="32"/>
          <w:szCs w:val="32"/>
        </w:rPr>
        <w:t>的此项目分数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每一</w:t>
      </w:r>
      <w:r>
        <w:rPr>
          <w:rFonts w:hint="eastAsia" w:ascii="仿宋" w:hAnsi="仿宋" w:eastAsia="仿宋"/>
          <w:bCs/>
          <w:sz w:val="32"/>
          <w:szCs w:val="32"/>
        </w:rPr>
        <w:t>标准</w:t>
      </w:r>
      <w:r>
        <w:rPr>
          <w:rFonts w:ascii="仿宋" w:hAnsi="仿宋" w:eastAsia="仿宋"/>
          <w:bCs/>
          <w:sz w:val="32"/>
          <w:szCs w:val="32"/>
        </w:rPr>
        <w:t>考场</w:t>
      </w:r>
      <w:r>
        <w:rPr>
          <w:rFonts w:hint="eastAsia" w:ascii="仿宋" w:hAnsi="仿宋" w:eastAsia="仿宋"/>
          <w:bCs/>
          <w:sz w:val="32"/>
          <w:szCs w:val="32"/>
        </w:rPr>
        <w:t>（40工位）</w:t>
      </w:r>
      <w:r>
        <w:rPr>
          <w:rFonts w:ascii="仿宋" w:hAnsi="仿宋" w:eastAsia="仿宋"/>
          <w:bCs/>
          <w:sz w:val="32"/>
          <w:szCs w:val="32"/>
        </w:rPr>
        <w:t>配备</w:t>
      </w:r>
      <w:r>
        <w:rPr>
          <w:rFonts w:hint="eastAsia" w:ascii="仿宋" w:hAnsi="仿宋" w:eastAsia="仿宋"/>
          <w:bCs/>
          <w:sz w:val="32"/>
          <w:szCs w:val="32"/>
        </w:rPr>
        <w:t>4位考评</w:t>
      </w:r>
      <w:r>
        <w:rPr>
          <w:rFonts w:ascii="仿宋" w:hAnsi="仿宋" w:eastAsia="仿宋"/>
          <w:bCs/>
          <w:sz w:val="32"/>
          <w:szCs w:val="32"/>
        </w:rPr>
        <w:t>员</w:t>
      </w:r>
      <w:r>
        <w:rPr>
          <w:rFonts w:hint="eastAsia" w:ascii="仿宋" w:hAnsi="仿宋" w:eastAsia="仿宋"/>
          <w:bCs/>
          <w:sz w:val="32"/>
          <w:szCs w:val="32"/>
        </w:rPr>
        <w:t>，30个左右工位配备3位考评</w:t>
      </w:r>
      <w:r>
        <w:rPr>
          <w:rFonts w:ascii="仿宋" w:hAnsi="仿宋" w:eastAsia="仿宋"/>
          <w:bCs/>
          <w:sz w:val="32"/>
          <w:szCs w:val="32"/>
        </w:rPr>
        <w:t>员</w:t>
      </w:r>
      <w:r>
        <w:rPr>
          <w:rFonts w:hint="eastAsia" w:ascii="仿宋" w:hAnsi="仿宋" w:eastAsia="仿宋"/>
          <w:bCs/>
          <w:sz w:val="32"/>
          <w:szCs w:val="32"/>
        </w:rPr>
        <w:t>，20个工位配备2位考评</w:t>
      </w:r>
      <w:r>
        <w:rPr>
          <w:rFonts w:ascii="仿宋" w:hAnsi="仿宋" w:eastAsia="仿宋"/>
          <w:bCs/>
          <w:sz w:val="32"/>
          <w:szCs w:val="32"/>
        </w:rPr>
        <w:t>员。</w:t>
      </w: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五、考点设备配置要求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详见《江苏省中等职业学校学业水平考试机电类技能考试考点建设标准（试行）修订</w:t>
      </w:r>
      <w:r>
        <w:rPr>
          <w:rFonts w:ascii="Times New Roman" w:hAnsi="Times New Roman" w:eastAsia="仿宋" w:cs="仿宋"/>
          <w:kern w:val="0"/>
          <w:sz w:val="32"/>
          <w:szCs w:val="32"/>
        </w:rPr>
        <w:t>稿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》。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考试样题及评分标准</w:t>
      </w:r>
    </w:p>
    <w:p>
      <w:pPr>
        <w:spacing w:line="360" w:lineRule="auto"/>
        <w:ind w:firstLine="640" w:firstLineChars="200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详见样题。</w:t>
      </w: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spacing w:before="312" w:beforeLines="100" w:after="312" w:afterLines="100"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Hans" w:eastAsia="zh-Hans"/>
        </w:rPr>
        <w:t>考核项目：电气线路安装和调试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本题分值：</w:t>
      </w:r>
      <w:r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00分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考核时间：120分钟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考核形式：实操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4.</w:t>
      </w:r>
      <w:r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具体考核要求：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（1）能正确识别、选用各元器件，并在评分表中完成相关理论知识填空。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（2）能正确选用工具及仪表，合理使用例如螺丝刀、剥线钳、万用表等。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（3）能根据电气图纸选择合适的导线及导线颜色。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（4）按工艺规范要求安装电气线路，调试电路功能。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（5）能严格遵守用电安全规范，认真听从现场要求；保持作业现场的清洁、整齐，节约耗材。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Hans" w:eastAsia="zh-Hans"/>
        </w:rPr>
        <w:t>操作过程：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推合QF1，电路通电。按下SB2按钮，KM1和KM2吸合，HL1和HL2灯亮，M1电机星型启动；按下SB3按钮，KM1和KM3吸合，HL1和HL3灯亮，M1电机三角形运行。按下SB1按钮，KM1、KM2和KM3都释放，HL1、HL2和HL3都熄灭。断开QF1。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5.</w:t>
      </w:r>
      <w:r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元件清单</w:t>
      </w:r>
    </w:p>
    <w:tbl>
      <w:tblPr>
        <w:tblStyle w:val="11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031"/>
        <w:gridCol w:w="164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元件</w:t>
            </w:r>
          </w:p>
        </w:tc>
        <w:tc>
          <w:tcPr>
            <w:tcW w:w="16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数量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断路器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1个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熔断器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1组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熔断器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热继电器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1只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复合按钮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3个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交流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接触器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3个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指示灯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3个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端子排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三相异步电机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1只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若干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导线，插针等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6.电气原理图</w:t>
      </w:r>
    </w:p>
    <w:p>
      <w:pPr>
        <w:pStyle w:val="23"/>
        <w:ind w:left="-420" w:firstLine="0" w:firstLineChars="0"/>
        <w:jc w:val="center"/>
      </w:pPr>
      <w:r>
        <w:drawing>
          <wp:inline distT="0" distB="0" distL="114300" distR="114300">
            <wp:extent cx="5620385" cy="7919085"/>
            <wp:effectExtent l="0" t="0" r="0" b="5715"/>
            <wp:docPr id="9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3266" cy="79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7.元器件位置图</w:t>
      </w:r>
    </w:p>
    <w:p>
      <w:pPr>
        <w:pStyle w:val="23"/>
        <w:ind w:left="-420" w:leftChars="-200" w:firstLine="0" w:firstLineChars="0"/>
        <w:jc w:val="center"/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drawing>
          <wp:inline distT="0" distB="0" distL="114300" distR="114300">
            <wp:extent cx="5622290" cy="7921625"/>
            <wp:effectExtent l="0" t="0" r="0" b="3175"/>
            <wp:docPr id="1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5815" cy="79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  <w:lang w:val="zh-Han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Hans" w:eastAsia="zh-Hans"/>
        </w:rPr>
        <w:t>电气线路安装与调试项目评分表</w:t>
      </w:r>
    </w:p>
    <w:tbl>
      <w:tblPr>
        <w:tblStyle w:val="10"/>
        <w:tblpPr w:leftFromText="180" w:rightFromText="180" w:vertAnchor="page" w:horzAnchor="page" w:tblpXSpec="center" w:tblpY="2498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86"/>
        <w:gridCol w:w="3575"/>
        <w:gridCol w:w="709"/>
        <w:gridCol w:w="326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评分内容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配分</w:t>
            </w: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重点检查内容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分项配分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详细配分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理论部分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主电路采用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颜色的导线。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错误扣1分/处。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控制电路采用直径为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导线。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图中FR为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器件。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图中KM1为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器件。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图中HL1为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器件。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元件安装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按电气原理图选接元器件。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选错扣2分/个。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元器件检测（含时间继电器参数设定）。</w:t>
            </w:r>
          </w:p>
        </w:tc>
        <w:tc>
          <w:tcPr>
            <w:tcW w:w="709" w:type="dxa"/>
            <w:vAlign w:val="center"/>
          </w:tcPr>
          <w:p>
            <w:pPr>
              <w:ind w:left="31" w:leftChars="1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检测误判，扣2分/个。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电路连接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正确使用导线（颜色、线径）。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错误使用导线，扣1分/种。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导线连接牢靠、正确。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松动、错接、漏接，扣1分/处。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spacing w:line="240" w:lineRule="exact"/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端子规范。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端子压接不牢，有裸露铜丝，铜丝裸露超2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hint="eastAsia" w:ascii="宋体" w:hAnsi="宋体"/>
                <w:szCs w:val="21"/>
              </w:rPr>
              <w:t>，有剪断铜丝，扣0.5分/处；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号码管（线号、方向、长度）。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不符合规范，每处0.5分；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走线排列。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走线错位、交叉，扣0.5分/处；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保护接地。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电动机未接地线，扣2分。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电路调试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使用万用表正确检测引入电源接线。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错误检测引入电源接线，扣5分。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使用万用表正确检测主电路。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不能熟练使用万用表检测出主电路短路或开路，扣3分。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使用万用表正确检测控制电路。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不能熟练使用万用表检测出控制电路短路或开路，扣2分。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实现星型启动功能。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不能实现功能，扣5分。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实现三角形运行功能。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不能实现功能，扣5分。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实现停止功能。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不能实现功能，扣5分。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职业素养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遵守考试纪律，服从现场指挥。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不遵守考场纪律，扣5分。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合理使用耗材，安全使用工量具。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严重浪费耗材，扣2分；违规使用工量具，扣2分。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语言表达清晰，逻辑合理。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思维混乱，不能正确表述专业内容，扣3分。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科学穿戴劳动保护用品。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未穿戴劳动保护用品，扣10分。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倒扣分项</w:t>
            </w:r>
          </w:p>
        </w:tc>
        <w:tc>
          <w:tcPr>
            <w:tcW w:w="3575" w:type="dxa"/>
            <w:vAlign w:val="center"/>
          </w:tcPr>
          <w:p>
            <w:pPr>
              <w:ind w:left="31" w:leftChars="15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严格遵守用电安全。确定电路无故障后，示意现场工作人员。在现场工作人员同意、监督下通电测试功能。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私自通电，造成短路等严重事故，扣20分。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iWL+ItAgAAW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CP1mWdjoB8sj&#10;dBTP2+U+QMCkaxSlV+KsFTouVeY8HbGl/9ynqMc/wu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iWL+I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5" name="文本框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bJA78tAgAAWQ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GbJA78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6" name="文本框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Qpd1gtAgAAWQ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FQpd1g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7" name="文本框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Lp2WwU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left"/>
      <w:rPr>
        <w:rFonts w:ascii="微软雅黑" w:hAnsi="微软雅黑" w:eastAsia="微软雅黑" w:cs="微软雅黑"/>
        <w:b/>
        <w:bCs/>
        <w:sz w:val="32"/>
        <w:szCs w:val="32"/>
      </w:rPr>
    </w:pPr>
    <w:r>
      <w:rPr>
        <w:rFonts w:hint="eastAsia" w:ascii="微软雅黑" w:hAnsi="微软雅黑" w:eastAsia="微软雅黑" w:cs="微软雅黑"/>
        <w:b/>
        <w:bCs/>
        <w:sz w:val="32"/>
        <w:szCs w:val="32"/>
      </w:rPr>
      <w:t>样题</w:t>
    </w:r>
  </w:p>
  <w:p>
    <w:pPr>
      <w:pStyle w:val="8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left"/>
      <w:rPr>
        <w:rFonts w:ascii="微软雅黑" w:hAnsi="微软雅黑" w:eastAsia="微软雅黑" w:cs="微软雅黑"/>
        <w:b/>
        <w:bCs/>
        <w:sz w:val="32"/>
        <w:szCs w:val="32"/>
      </w:rPr>
    </w:pPr>
    <w:r>
      <w:rPr>
        <w:rFonts w:hint="eastAsia" w:ascii="微软雅黑" w:hAnsi="微软雅黑" w:eastAsia="微软雅黑" w:cs="微软雅黑"/>
        <w:b/>
        <w:bCs/>
        <w:sz w:val="32"/>
        <w:szCs w:val="32"/>
      </w:rPr>
      <w:t>样题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97B71"/>
    <w:multiLevelType w:val="singleLevel"/>
    <w:tmpl w:val="2EE97B7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D"/>
    <w:rsid w:val="00011724"/>
    <w:rsid w:val="000443D2"/>
    <w:rsid w:val="00062427"/>
    <w:rsid w:val="000A27D6"/>
    <w:rsid w:val="000B0327"/>
    <w:rsid w:val="000D397A"/>
    <w:rsid w:val="000D4B80"/>
    <w:rsid w:val="000E6ED2"/>
    <w:rsid w:val="000F14F9"/>
    <w:rsid w:val="00101234"/>
    <w:rsid w:val="001105B3"/>
    <w:rsid w:val="0015730F"/>
    <w:rsid w:val="00187DB5"/>
    <w:rsid w:val="001A7225"/>
    <w:rsid w:val="001D0B96"/>
    <w:rsid w:val="001E0112"/>
    <w:rsid w:val="001F0B75"/>
    <w:rsid w:val="001F30ED"/>
    <w:rsid w:val="001F35B5"/>
    <w:rsid w:val="002067B9"/>
    <w:rsid w:val="00227520"/>
    <w:rsid w:val="00241D34"/>
    <w:rsid w:val="002642E1"/>
    <w:rsid w:val="002B3C69"/>
    <w:rsid w:val="002B49EA"/>
    <w:rsid w:val="002C443F"/>
    <w:rsid w:val="002D660E"/>
    <w:rsid w:val="002E37A3"/>
    <w:rsid w:val="002E54D2"/>
    <w:rsid w:val="002F4047"/>
    <w:rsid w:val="003120D3"/>
    <w:rsid w:val="003211F8"/>
    <w:rsid w:val="00337B53"/>
    <w:rsid w:val="003552EA"/>
    <w:rsid w:val="003649E0"/>
    <w:rsid w:val="00367E3F"/>
    <w:rsid w:val="003727A8"/>
    <w:rsid w:val="0037771A"/>
    <w:rsid w:val="00377D2D"/>
    <w:rsid w:val="00380659"/>
    <w:rsid w:val="0038307B"/>
    <w:rsid w:val="0038422F"/>
    <w:rsid w:val="003A2F88"/>
    <w:rsid w:val="003C4CDE"/>
    <w:rsid w:val="003E3A1C"/>
    <w:rsid w:val="003E586C"/>
    <w:rsid w:val="003E77F5"/>
    <w:rsid w:val="00400047"/>
    <w:rsid w:val="0041022B"/>
    <w:rsid w:val="0041650B"/>
    <w:rsid w:val="004312EE"/>
    <w:rsid w:val="00442C5C"/>
    <w:rsid w:val="00466AEB"/>
    <w:rsid w:val="00486D13"/>
    <w:rsid w:val="004A26B6"/>
    <w:rsid w:val="004B3E66"/>
    <w:rsid w:val="004D765A"/>
    <w:rsid w:val="0051757A"/>
    <w:rsid w:val="00527CC5"/>
    <w:rsid w:val="00552B17"/>
    <w:rsid w:val="00597F48"/>
    <w:rsid w:val="005A027E"/>
    <w:rsid w:val="005A132B"/>
    <w:rsid w:val="005A364F"/>
    <w:rsid w:val="005B317F"/>
    <w:rsid w:val="005D6CC7"/>
    <w:rsid w:val="00616F6B"/>
    <w:rsid w:val="00622281"/>
    <w:rsid w:val="0063634F"/>
    <w:rsid w:val="006526C5"/>
    <w:rsid w:val="0066677C"/>
    <w:rsid w:val="00666D63"/>
    <w:rsid w:val="006779CE"/>
    <w:rsid w:val="00696AD4"/>
    <w:rsid w:val="006C6946"/>
    <w:rsid w:val="006C7C1C"/>
    <w:rsid w:val="006C7C49"/>
    <w:rsid w:val="006F34CA"/>
    <w:rsid w:val="0070392E"/>
    <w:rsid w:val="007176DB"/>
    <w:rsid w:val="00745CE7"/>
    <w:rsid w:val="007478A6"/>
    <w:rsid w:val="00765636"/>
    <w:rsid w:val="007733DE"/>
    <w:rsid w:val="0079302D"/>
    <w:rsid w:val="007B0081"/>
    <w:rsid w:val="007B1796"/>
    <w:rsid w:val="007E7299"/>
    <w:rsid w:val="00806FF4"/>
    <w:rsid w:val="008213EC"/>
    <w:rsid w:val="00823F16"/>
    <w:rsid w:val="00830E6D"/>
    <w:rsid w:val="00836C47"/>
    <w:rsid w:val="008761B7"/>
    <w:rsid w:val="0089052F"/>
    <w:rsid w:val="008B7A37"/>
    <w:rsid w:val="008C196A"/>
    <w:rsid w:val="008C36A6"/>
    <w:rsid w:val="008D663D"/>
    <w:rsid w:val="008E01DA"/>
    <w:rsid w:val="00914E6D"/>
    <w:rsid w:val="00926640"/>
    <w:rsid w:val="00940064"/>
    <w:rsid w:val="00940506"/>
    <w:rsid w:val="00956FE0"/>
    <w:rsid w:val="0096158E"/>
    <w:rsid w:val="009B0CAC"/>
    <w:rsid w:val="009B120D"/>
    <w:rsid w:val="009B2CB7"/>
    <w:rsid w:val="009B4B3D"/>
    <w:rsid w:val="00A137E7"/>
    <w:rsid w:val="00A168B8"/>
    <w:rsid w:val="00A402B1"/>
    <w:rsid w:val="00A52314"/>
    <w:rsid w:val="00A97D27"/>
    <w:rsid w:val="00AB0A9F"/>
    <w:rsid w:val="00AD7BCD"/>
    <w:rsid w:val="00AE7A86"/>
    <w:rsid w:val="00AF0119"/>
    <w:rsid w:val="00AF70E7"/>
    <w:rsid w:val="00B261DB"/>
    <w:rsid w:val="00B33A4F"/>
    <w:rsid w:val="00B3579B"/>
    <w:rsid w:val="00B61B59"/>
    <w:rsid w:val="00B63812"/>
    <w:rsid w:val="00B659D1"/>
    <w:rsid w:val="00B76F4D"/>
    <w:rsid w:val="00BC3746"/>
    <w:rsid w:val="00BC71D0"/>
    <w:rsid w:val="00BF41EC"/>
    <w:rsid w:val="00C106A7"/>
    <w:rsid w:val="00C15554"/>
    <w:rsid w:val="00C20086"/>
    <w:rsid w:val="00C315C7"/>
    <w:rsid w:val="00C54FCB"/>
    <w:rsid w:val="00C811B2"/>
    <w:rsid w:val="00C90284"/>
    <w:rsid w:val="00CA06E1"/>
    <w:rsid w:val="00CB399C"/>
    <w:rsid w:val="00CB3C72"/>
    <w:rsid w:val="00CB6E2F"/>
    <w:rsid w:val="00D0156B"/>
    <w:rsid w:val="00D22567"/>
    <w:rsid w:val="00D27CCB"/>
    <w:rsid w:val="00D43CDA"/>
    <w:rsid w:val="00D50998"/>
    <w:rsid w:val="00D55BFA"/>
    <w:rsid w:val="00D61033"/>
    <w:rsid w:val="00D64232"/>
    <w:rsid w:val="00D80A9D"/>
    <w:rsid w:val="00D82319"/>
    <w:rsid w:val="00D865B9"/>
    <w:rsid w:val="00DA1EA1"/>
    <w:rsid w:val="00DB02A4"/>
    <w:rsid w:val="00DB757F"/>
    <w:rsid w:val="00DC14EA"/>
    <w:rsid w:val="00DD129A"/>
    <w:rsid w:val="00DE2F5A"/>
    <w:rsid w:val="00DF703A"/>
    <w:rsid w:val="00E0031B"/>
    <w:rsid w:val="00E20795"/>
    <w:rsid w:val="00E232CF"/>
    <w:rsid w:val="00E2597D"/>
    <w:rsid w:val="00E352FD"/>
    <w:rsid w:val="00E353FD"/>
    <w:rsid w:val="00E413D9"/>
    <w:rsid w:val="00E50C9B"/>
    <w:rsid w:val="00E54BCC"/>
    <w:rsid w:val="00E62F46"/>
    <w:rsid w:val="00E84DD8"/>
    <w:rsid w:val="00EA32EB"/>
    <w:rsid w:val="00EA6A9A"/>
    <w:rsid w:val="00EB22F6"/>
    <w:rsid w:val="00EB62F9"/>
    <w:rsid w:val="00EB6C3C"/>
    <w:rsid w:val="00ED212F"/>
    <w:rsid w:val="00ED6AA1"/>
    <w:rsid w:val="00F234A6"/>
    <w:rsid w:val="00F26C0E"/>
    <w:rsid w:val="00F304BF"/>
    <w:rsid w:val="00F333B1"/>
    <w:rsid w:val="00F340EA"/>
    <w:rsid w:val="00F83744"/>
    <w:rsid w:val="00F96DFA"/>
    <w:rsid w:val="00FB1CF4"/>
    <w:rsid w:val="080B51A8"/>
    <w:rsid w:val="0BD84F1C"/>
    <w:rsid w:val="0EB03842"/>
    <w:rsid w:val="0F7931AC"/>
    <w:rsid w:val="11B749DE"/>
    <w:rsid w:val="12647EE9"/>
    <w:rsid w:val="1493562C"/>
    <w:rsid w:val="187D491E"/>
    <w:rsid w:val="1B372D83"/>
    <w:rsid w:val="1BA856B0"/>
    <w:rsid w:val="1CEF494B"/>
    <w:rsid w:val="1D5F712F"/>
    <w:rsid w:val="1EF66CB3"/>
    <w:rsid w:val="1F970C2F"/>
    <w:rsid w:val="22E80D98"/>
    <w:rsid w:val="27D54340"/>
    <w:rsid w:val="2ABA33C4"/>
    <w:rsid w:val="31891E90"/>
    <w:rsid w:val="33400212"/>
    <w:rsid w:val="3496646B"/>
    <w:rsid w:val="39F711DC"/>
    <w:rsid w:val="3A1B1429"/>
    <w:rsid w:val="3AB12904"/>
    <w:rsid w:val="3BCB2BC1"/>
    <w:rsid w:val="3C6A3C0C"/>
    <w:rsid w:val="3C6F6A1F"/>
    <w:rsid w:val="3CCC6889"/>
    <w:rsid w:val="3D18465B"/>
    <w:rsid w:val="3D351AD7"/>
    <w:rsid w:val="3DAA2A82"/>
    <w:rsid w:val="3FBE5DB3"/>
    <w:rsid w:val="3FD02375"/>
    <w:rsid w:val="406B2B14"/>
    <w:rsid w:val="44DB361A"/>
    <w:rsid w:val="45F07EF7"/>
    <w:rsid w:val="482B5599"/>
    <w:rsid w:val="49485639"/>
    <w:rsid w:val="4A5469D0"/>
    <w:rsid w:val="4C53330A"/>
    <w:rsid w:val="4C6947D8"/>
    <w:rsid w:val="4C7519D5"/>
    <w:rsid w:val="4F086253"/>
    <w:rsid w:val="52754124"/>
    <w:rsid w:val="54D23737"/>
    <w:rsid w:val="5883638F"/>
    <w:rsid w:val="597968CC"/>
    <w:rsid w:val="5A547CE3"/>
    <w:rsid w:val="5AD22EB6"/>
    <w:rsid w:val="5CA87669"/>
    <w:rsid w:val="5D155390"/>
    <w:rsid w:val="5EFD2BB6"/>
    <w:rsid w:val="5FAC7F3F"/>
    <w:rsid w:val="61F23D04"/>
    <w:rsid w:val="62C911B8"/>
    <w:rsid w:val="63853579"/>
    <w:rsid w:val="63B94870"/>
    <w:rsid w:val="64364C1E"/>
    <w:rsid w:val="64D86DC1"/>
    <w:rsid w:val="65347E23"/>
    <w:rsid w:val="659D721E"/>
    <w:rsid w:val="68FA634C"/>
    <w:rsid w:val="6AC35B1B"/>
    <w:rsid w:val="6B6E6813"/>
    <w:rsid w:val="6E532F41"/>
    <w:rsid w:val="726B4CFD"/>
    <w:rsid w:val="73B82F3E"/>
    <w:rsid w:val="750E294D"/>
    <w:rsid w:val="758C3815"/>
    <w:rsid w:val="77FF6166"/>
    <w:rsid w:val="7CF4386A"/>
    <w:rsid w:val="7D795E72"/>
    <w:rsid w:val="7EAA070B"/>
    <w:rsid w:val="7F5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0"/>
    <w:pPr>
      <w:jc w:val="left"/>
    </w:pPr>
    <w:rPr>
      <w:szCs w:val="24"/>
    </w:rPr>
  </w:style>
  <w:style w:type="paragraph" w:styleId="4">
    <w:name w:val="Body Text Indent"/>
    <w:basedOn w:val="1"/>
    <w:qFormat/>
    <w:uiPriority w:val="0"/>
    <w:pPr>
      <w:spacing w:line="560" w:lineRule="exact"/>
      <w:ind w:firstLine="803" w:firstLineChars="250"/>
    </w:pPr>
    <w:rPr>
      <w:rFonts w:ascii="楷体_GB2312" w:eastAsia="楷体_GB2312"/>
      <w:b/>
      <w:sz w:val="32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批注文字 字符"/>
    <w:link w:val="3"/>
    <w:semiHidden/>
    <w:qFormat/>
    <w:uiPriority w:val="0"/>
    <w:rPr>
      <w:kern w:val="2"/>
      <w:sz w:val="21"/>
      <w:szCs w:val="24"/>
    </w:rPr>
  </w:style>
  <w:style w:type="character" w:customStyle="1" w:styleId="20">
    <w:name w:val="批注文字 字符1"/>
    <w:basedOn w:val="12"/>
    <w:semiHidden/>
    <w:qFormat/>
    <w:uiPriority w:val="99"/>
    <w:rPr>
      <w:kern w:val="2"/>
      <w:sz w:val="21"/>
      <w:szCs w:val="22"/>
    </w:rPr>
  </w:style>
  <w:style w:type="paragraph" w:styleId="2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_Style 20"/>
    <w:basedOn w:val="1"/>
    <w:next w:val="2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emf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6C2BB-9558-442B-AB42-3955276EBB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462</Words>
  <Characters>2634</Characters>
  <Lines>21</Lines>
  <Paragraphs>6</Paragraphs>
  <TotalTime>0</TotalTime>
  <ScaleCrop>false</ScaleCrop>
  <LinksUpToDate>false</LinksUpToDate>
  <CharactersWithSpaces>3090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2020-07-29T07:14:00Z</dcterms:created>
  <dc:creator>张善平</dc:creator>
  <cp:lastModifiedBy>不辣的皮皮特</cp:lastModifiedBy>
  <cp:lastPrinted>2020-07-26T01:30:00Z</cp:lastPrinted>
  <dcterms:modified xsi:type="dcterms:W3CDTF">2021-09-09T07:10:28Z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555729604BEE474DB9D0A000C77CE83C</vt:lpwstr>
  </property>
</Properties>
</file>