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lang w:val="zh-CN"/>
        </w:rPr>
      </w:pPr>
      <w:r>
        <w:rPr>
          <w:rFonts w:hint="eastAsia" w:ascii="黑体" w:hAnsi="黑体" w:eastAsia="黑体" w:cs="黑体"/>
          <w:sz w:val="32"/>
          <w:szCs w:val="32"/>
          <w:lang w:val="zh-CN"/>
        </w:rPr>
        <w:t>附件2-</w:t>
      </w:r>
      <w:r>
        <w:rPr>
          <w:rFonts w:hint="eastAsia" w:ascii="黑体" w:hAnsi="黑体" w:eastAsia="黑体" w:cs="黑体"/>
          <w:sz w:val="32"/>
          <w:szCs w:val="32"/>
        </w:rPr>
        <w:t>13</w:t>
      </w:r>
    </w:p>
    <w:p>
      <w:pPr>
        <w:spacing w:line="360" w:lineRule="auto"/>
        <w:rPr>
          <w:rFonts w:ascii="Times New Roman" w:hAnsi="Times New Roman" w:eastAsia="黑体"/>
          <w:sz w:val="32"/>
          <w:szCs w:val="32"/>
          <w:lang w:val="zh-CN"/>
        </w:rPr>
      </w:pPr>
    </w:p>
    <w:p>
      <w:pPr>
        <w:spacing w:line="56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rPr>
        <w:t>1年江苏省中等职业学校学生学业水平考试</w:t>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会计类专业基本技能考试指导性实施方案</w:t>
      </w:r>
    </w:p>
    <w:p>
      <w:pPr>
        <w:spacing w:line="560" w:lineRule="exact"/>
        <w:ind w:firstLine="640" w:firstLineChars="200"/>
        <w:rPr>
          <w:rFonts w:ascii="Times New Roman" w:hAnsi="Times New Roman" w:eastAsia="黑体"/>
          <w:kern w:val="0"/>
          <w:sz w:val="32"/>
          <w:szCs w:val="32"/>
        </w:rPr>
      </w:pP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一、考试对象</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仿宋" w:hAnsi="仿宋" w:eastAsia="仿宋" w:cs="仿宋"/>
          <w:kern w:val="0"/>
          <w:sz w:val="32"/>
          <w:szCs w:val="32"/>
        </w:rPr>
        <w:t>会计类</w:t>
      </w:r>
      <w:r>
        <w:rPr>
          <w:rFonts w:hint="eastAsia" w:ascii="仿宋" w:hAnsi="仿宋" w:eastAsia="仿宋" w:cs="仿宋"/>
          <w:sz w:val="32"/>
          <w:szCs w:val="32"/>
        </w:rPr>
        <w:t>会计</w:t>
      </w:r>
      <w:r>
        <w:rPr>
          <w:rFonts w:hint="eastAsia" w:ascii="仿宋" w:hAnsi="仿宋" w:eastAsia="仿宋" w:cs="仿宋"/>
          <w:kern w:val="0"/>
          <w:sz w:val="32"/>
          <w:szCs w:val="32"/>
        </w:rPr>
        <w:t>、会计电算化、统计事务、金融事务、农村经济综合管理等相关专业考生。</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仿宋" w:hAnsi="仿宋" w:eastAsia="仿宋" w:cs="仿宋"/>
          <w:kern w:val="0"/>
          <w:sz w:val="32"/>
          <w:szCs w:val="32"/>
        </w:rPr>
        <w:t>学生须参加考试。五年制高职学生是否参加考试，由各市教育局统筹安排。</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二、考试内容、方式、时长及配分</w:t>
      </w:r>
    </w:p>
    <w:tbl>
      <w:tblPr>
        <w:tblStyle w:val="4"/>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1626"/>
        <w:gridCol w:w="162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pct"/>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考试内容</w:t>
            </w:r>
          </w:p>
        </w:tc>
        <w:tc>
          <w:tcPr>
            <w:tcW w:w="1068" w:type="pct"/>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方式</w:t>
            </w:r>
          </w:p>
        </w:tc>
        <w:tc>
          <w:tcPr>
            <w:tcW w:w="1067" w:type="pct"/>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时长</w:t>
            </w:r>
          </w:p>
        </w:tc>
        <w:tc>
          <w:tcPr>
            <w:tcW w:w="1070" w:type="pct"/>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会计电算化</w:t>
            </w:r>
          </w:p>
        </w:tc>
        <w:tc>
          <w:tcPr>
            <w:tcW w:w="1068"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信息化</w:t>
            </w:r>
          </w:p>
        </w:tc>
        <w:tc>
          <w:tcPr>
            <w:tcW w:w="1067"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60分钟</w:t>
            </w:r>
          </w:p>
        </w:tc>
        <w:tc>
          <w:tcPr>
            <w:tcW w:w="1070"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基础会计实务</w:t>
            </w:r>
          </w:p>
        </w:tc>
        <w:tc>
          <w:tcPr>
            <w:tcW w:w="1068"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信息化</w:t>
            </w:r>
          </w:p>
        </w:tc>
        <w:tc>
          <w:tcPr>
            <w:tcW w:w="1067"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60分钟</w:t>
            </w:r>
          </w:p>
        </w:tc>
        <w:tc>
          <w:tcPr>
            <w:tcW w:w="1070"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pct"/>
            <w:gridSpan w:val="2"/>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1067"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120分钟</w:t>
            </w:r>
          </w:p>
        </w:tc>
        <w:tc>
          <w:tcPr>
            <w:tcW w:w="1070" w:type="pct"/>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100分</w:t>
            </w:r>
          </w:p>
        </w:tc>
      </w:tr>
    </w:tbl>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三、考试时间</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2021年11月中旬。</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四、组织实施</w:t>
      </w:r>
    </w:p>
    <w:p>
      <w:pPr>
        <w:snapToGrid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（一）考点设置</w:t>
      </w:r>
    </w:p>
    <w:tbl>
      <w:tblPr>
        <w:tblStyle w:val="4"/>
        <w:tblW w:w="5061" w:type="pct"/>
        <w:jc w:val="center"/>
        <w:tblLayout w:type="autofit"/>
        <w:tblCellMar>
          <w:top w:w="0" w:type="dxa"/>
          <w:left w:w="0" w:type="dxa"/>
          <w:bottom w:w="0" w:type="dxa"/>
          <w:right w:w="0" w:type="dxa"/>
        </w:tblCellMar>
      </w:tblPr>
      <w:tblGrid>
        <w:gridCol w:w="1182"/>
        <w:gridCol w:w="1536"/>
        <w:gridCol w:w="4573"/>
        <w:gridCol w:w="1147"/>
      </w:tblGrid>
      <w:tr>
        <w:tblPrEx>
          <w:tblCellMar>
            <w:top w:w="0" w:type="dxa"/>
            <w:left w:w="0" w:type="dxa"/>
            <w:bottom w:w="0" w:type="dxa"/>
            <w:right w:w="0" w:type="dxa"/>
          </w:tblCellMar>
        </w:tblPrEx>
        <w:trPr>
          <w:trHeight w:val="547" w:hRule="atLeast"/>
          <w:tblHeader/>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b/>
                <w:bCs/>
                <w:kern w:val="0"/>
                <w:sz w:val="24"/>
              </w:rPr>
            </w:pPr>
            <w:r>
              <w:rPr>
                <w:rFonts w:hint="eastAsia" w:ascii="仿宋" w:hAnsi="仿宋" w:eastAsia="仿宋" w:cs="仿宋"/>
                <w:b/>
                <w:bCs/>
                <w:kern w:val="0"/>
                <w:sz w:val="24"/>
              </w:rPr>
              <w:t>序号</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b/>
                <w:bCs/>
                <w:kern w:val="0"/>
                <w:sz w:val="24"/>
              </w:rPr>
            </w:pPr>
            <w:r>
              <w:rPr>
                <w:rFonts w:hint="eastAsia" w:ascii="仿宋" w:hAnsi="仿宋" w:eastAsia="仿宋" w:cs="仿宋"/>
                <w:b/>
                <w:bCs/>
                <w:kern w:val="0"/>
                <w:sz w:val="24"/>
              </w:rPr>
              <w:t>城市</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1205" w:firstLineChars="500"/>
              <w:jc w:val="center"/>
              <w:rPr>
                <w:rFonts w:ascii="仿宋" w:hAnsi="仿宋" w:eastAsia="仿宋" w:cs="仿宋"/>
                <w:b/>
                <w:bCs/>
                <w:kern w:val="0"/>
                <w:sz w:val="24"/>
              </w:rPr>
            </w:pPr>
            <w:r>
              <w:rPr>
                <w:rFonts w:hint="eastAsia" w:ascii="仿宋" w:hAnsi="仿宋" w:eastAsia="仿宋" w:cs="仿宋"/>
                <w:b/>
                <w:bCs/>
                <w:kern w:val="0"/>
                <w:sz w:val="24"/>
              </w:rPr>
              <w:t>考点学校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南京财经学校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江苏省高淳中等专业学校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南京浦口中等专业学校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4</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南京六合中等专业学校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410"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5</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无锡</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auto"/>
                <w:kern w:val="0"/>
                <w:sz w:val="24"/>
              </w:rPr>
            </w:pPr>
            <w:r>
              <w:rPr>
                <w:rFonts w:hint="eastAsia" w:ascii="仿宋" w:hAnsi="仿宋" w:eastAsia="仿宋" w:cs="仿宋"/>
                <w:color w:val="auto"/>
                <w:kern w:val="0"/>
                <w:sz w:val="24"/>
              </w:rPr>
              <w:t>无锡技师学院</w:t>
            </w:r>
          </w:p>
          <w:p>
            <w:pPr>
              <w:snapToGrid w:val="0"/>
              <w:jc w:val="center"/>
              <w:rPr>
                <w:rFonts w:ascii="仿宋" w:hAnsi="仿宋" w:eastAsia="仿宋" w:cs="仿宋"/>
                <w:color w:val="auto"/>
                <w:kern w:val="0"/>
                <w:sz w:val="24"/>
              </w:rPr>
            </w:pPr>
            <w:r>
              <w:rPr>
                <w:rFonts w:hint="eastAsia" w:ascii="仿宋" w:hAnsi="仿宋" w:eastAsia="仿宋" w:cs="仿宋"/>
                <w:color w:val="auto"/>
                <w:kern w:val="0"/>
                <w:sz w:val="24"/>
              </w:rPr>
              <w:t>（江苏省无锡立信中等专业学校）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6</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无锡</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lang w:val="en-US" w:eastAsia="zh-CN"/>
              </w:rPr>
              <w:t>宜兴高等职业技术学校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hint="default" w:ascii="仿宋" w:hAnsi="仿宋" w:eastAsia="仿宋" w:cs="仿宋"/>
                <w:color w:val="FF0000"/>
                <w:kern w:val="0"/>
                <w:sz w:val="24"/>
                <w:lang w:val="en-US" w:eastAsia="zh-CN"/>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7</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徐州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rPr>
              <w:t>江苏省徐州财经高等职业技术学校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8</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徐州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rPr>
              <w:t>江苏省丰县中等专业学校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9</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徐州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rPr>
              <w:t>江苏省沛县中等专业学校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10</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徐州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rPr>
              <w:t>江苏省邳州中等专业学校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11</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常州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auto"/>
                <w:kern w:val="0"/>
                <w:sz w:val="24"/>
              </w:rPr>
            </w:pPr>
            <w:r>
              <w:rPr>
                <w:rFonts w:hint="eastAsia" w:ascii="仿宋" w:hAnsi="仿宋" w:eastAsia="仿宋" w:cs="仿宋"/>
                <w:color w:val="auto"/>
                <w:kern w:val="0"/>
                <w:sz w:val="24"/>
              </w:rPr>
              <w:t>常州市高级职业技术学校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color w:val="FF0000"/>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12</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常州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江苏省溧阳中等专业学校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13</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常州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江苏省金坛中等专业学校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14</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苏州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江苏省常熟中等专业学校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15</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苏州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江苏省苏州丝绸中等专业学校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16</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苏州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江苏省吴江中等专业学校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17</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苏州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江苏省吴中中等专业学校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18</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苏州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张家港市第二职业高级中学</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19</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江苏省南通中等专业学校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20</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color w:val="FF0000"/>
                <w:kern w:val="0"/>
                <w:sz w:val="24"/>
              </w:rPr>
            </w:pPr>
            <w:r>
              <w:rPr>
                <w:rFonts w:hint="eastAsia" w:ascii="仿宋" w:hAnsi="仿宋" w:eastAsia="仿宋" w:cs="仿宋"/>
                <w:color w:val="auto"/>
                <w:kern w:val="0"/>
                <w:sz w:val="24"/>
              </w:rPr>
              <w:t>江苏省如东中等专业学校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color w:val="FF0000"/>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21</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启东市第二中等专业学校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22</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江苏省海门中等专业学校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23</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江苏省海安中等专业学校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24</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南通</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江苏省通州中等专业学校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25</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连云港</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江苏省连云港中等专业学校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26</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连云港</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江苏省灌南中等专业学校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27</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淮安</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江苏省淮阴商业学校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28</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淮安</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淮安生物工程高等职业学校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29</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淮安</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江苏省淮安中等专业学校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30</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盐城</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江苏省建湖中等专业学校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31</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盐城</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盐城机电高等职业技术学校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32</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盐城</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盐城生物工程高等职业技术学校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33</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扬州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扬州高等职业技术学校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34</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扬州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江苏省高邮中等专业学校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35</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扬州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江苏省江都中等专业学校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ind w:firstLine="480" w:firstLineChars="200"/>
              <w:rPr>
                <w:rFonts w:ascii="仿宋" w:hAnsi="仿宋" w:eastAsia="仿宋" w:cs="仿宋"/>
                <w:kern w:val="0"/>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36</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镇江</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江苏省丹阳中等专业学校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37</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泰州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江苏省泰兴中等专业学校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38</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泰州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泰州机电高等职业技术学校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39</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泰州</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江苏省靖江中等专业学校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40</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宿迁</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江苏省宿城中等专业学校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4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41</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宿迁</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江苏省泗阳中等专业学校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r>
        <w:tblPrEx>
          <w:tblCellMar>
            <w:top w:w="0" w:type="dxa"/>
            <w:left w:w="0" w:type="dxa"/>
            <w:bottom w:w="0" w:type="dxa"/>
            <w:right w:w="0" w:type="dxa"/>
          </w:tblCellMar>
        </w:tblPrEx>
        <w:trPr>
          <w:trHeight w:val="557" w:hRule="atLeast"/>
          <w:jc w:val="center"/>
        </w:trPr>
        <w:tc>
          <w:tcPr>
            <w:tcW w:w="7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42</w:t>
            </w:r>
          </w:p>
        </w:tc>
        <w:tc>
          <w:tcPr>
            <w:tcW w:w="9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宿迁</w:t>
            </w:r>
          </w:p>
        </w:tc>
        <w:tc>
          <w:tcPr>
            <w:tcW w:w="27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jc w:val="center"/>
              <w:rPr>
                <w:rFonts w:ascii="仿宋" w:hAnsi="仿宋" w:eastAsia="仿宋" w:cs="仿宋"/>
                <w:kern w:val="0"/>
                <w:sz w:val="24"/>
              </w:rPr>
            </w:pPr>
            <w:r>
              <w:rPr>
                <w:rFonts w:hint="eastAsia" w:ascii="仿宋" w:hAnsi="仿宋" w:eastAsia="仿宋" w:cs="仿宋"/>
                <w:kern w:val="0"/>
                <w:sz w:val="24"/>
              </w:rPr>
              <w:t>江苏省宿豫中等专业学校</w:t>
            </w:r>
          </w:p>
        </w:tc>
        <w:tc>
          <w:tcPr>
            <w:tcW w:w="6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560" w:lineRule="exact"/>
              <w:rPr>
                <w:rFonts w:ascii="仿宋" w:hAnsi="仿宋" w:eastAsia="仿宋" w:cs="仿宋"/>
                <w:sz w:val="24"/>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napToGrid w:val="0"/>
        <w:spacing w:line="560" w:lineRule="exact"/>
        <w:ind w:firstLine="640" w:firstLineChars="200"/>
        <w:rPr>
          <w:rFonts w:ascii="楷体" w:hAnsi="楷体" w:eastAsia="楷体" w:cs="楷体"/>
          <w:kern w:val="0"/>
          <w:sz w:val="32"/>
          <w:szCs w:val="32"/>
        </w:rPr>
      </w:pPr>
      <w:bookmarkStart w:id="0" w:name="_GoBack"/>
      <w:bookmarkEnd w:id="0"/>
      <w:r>
        <w:rPr>
          <w:rFonts w:hint="eastAsia" w:ascii="楷体" w:hAnsi="楷体" w:eastAsia="楷体" w:cs="楷体"/>
          <w:kern w:val="0"/>
          <w:sz w:val="32"/>
          <w:szCs w:val="32"/>
        </w:rPr>
        <w:t>（二）考试组织</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snapToGrid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（三）考场安排</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全省考生分4个批次完成技能考试。考点学校每个考场的人数限制在45人以内，同一批次技能考试可设置2至10个考场。</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（1）第1天上午、下午，分别安排两个批次；</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（2）第2天上午、下午，分别安排两个批次；</w:t>
      </w:r>
    </w:p>
    <w:p>
      <w:pPr>
        <w:snapToGrid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（四）评分方式</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会计电算化”和“基础会计实务”两个项目均通过信息化综合实训平台进行考试，系统自动评分。考试期间，由考点安排1名机房人员、1名网络维护人员，每个考场安排2名监考老师；每个考点由学考办安排1名巡考人员。</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五、考试考点环境、设备配置要求</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详见《江苏省中等职业学校学生学业水平考试会计类技能考试考点建设标准（试行）修订稿》。</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六、考试样题及评分标准</w:t>
      </w:r>
    </w:p>
    <w:p>
      <w:pPr>
        <w:snapToGrid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（一）会计电算化</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1.考试样题</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在规定时间内完成账套的设置、系统初始化，完成固定资产模块、工资模块、总账模块、报表管理模块的操作任务。时间60分钟，总分50分。</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2.评分标准</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215"/>
        <w:gridCol w:w="562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450" w:type="pct"/>
            <w:vAlign w:val="center"/>
          </w:tcPr>
          <w:p>
            <w:pPr>
              <w:snapToGrid w:val="0"/>
              <w:spacing w:line="560" w:lineRule="exact"/>
              <w:ind w:left="-86" w:leftChars="-41" w:right="-134" w:rightChars="-64"/>
              <w:jc w:val="center"/>
              <w:rPr>
                <w:rFonts w:ascii="仿宋" w:hAnsi="仿宋" w:eastAsia="仿宋" w:cs="仿宋"/>
                <w:b/>
                <w:bCs/>
                <w:sz w:val="24"/>
              </w:rPr>
            </w:pPr>
            <w:r>
              <w:rPr>
                <w:rFonts w:hint="eastAsia" w:ascii="仿宋" w:hAnsi="仿宋" w:eastAsia="仿宋" w:cs="仿宋"/>
                <w:b/>
                <w:bCs/>
                <w:sz w:val="24"/>
              </w:rPr>
              <w:t>序号</w:t>
            </w:r>
          </w:p>
        </w:tc>
        <w:tc>
          <w:tcPr>
            <w:tcW w:w="713" w:type="pct"/>
            <w:vAlign w:val="center"/>
          </w:tcPr>
          <w:p>
            <w:pPr>
              <w:snapToGrid w:val="0"/>
              <w:spacing w:line="560" w:lineRule="exact"/>
              <w:jc w:val="center"/>
              <w:rPr>
                <w:rFonts w:ascii="仿宋" w:hAnsi="仿宋" w:eastAsia="仿宋" w:cs="仿宋"/>
                <w:b/>
                <w:bCs/>
                <w:sz w:val="24"/>
              </w:rPr>
            </w:pPr>
            <w:r>
              <w:rPr>
                <w:rFonts w:hint="eastAsia" w:ascii="仿宋" w:hAnsi="仿宋" w:eastAsia="仿宋" w:cs="仿宋"/>
                <w:b/>
                <w:bCs/>
                <w:sz w:val="24"/>
              </w:rPr>
              <w:t>评分要点</w:t>
            </w:r>
          </w:p>
        </w:tc>
        <w:tc>
          <w:tcPr>
            <w:tcW w:w="3299" w:type="pct"/>
            <w:vAlign w:val="center"/>
          </w:tcPr>
          <w:p>
            <w:pPr>
              <w:snapToGrid w:val="0"/>
              <w:spacing w:line="560" w:lineRule="exact"/>
              <w:jc w:val="center"/>
              <w:rPr>
                <w:rFonts w:ascii="仿宋" w:hAnsi="仿宋" w:eastAsia="仿宋" w:cs="仿宋"/>
                <w:b/>
                <w:bCs/>
                <w:sz w:val="24"/>
              </w:rPr>
            </w:pPr>
            <w:r>
              <w:rPr>
                <w:rFonts w:hint="eastAsia" w:ascii="仿宋" w:hAnsi="仿宋" w:eastAsia="仿宋" w:cs="仿宋"/>
                <w:b/>
                <w:bCs/>
                <w:sz w:val="24"/>
              </w:rPr>
              <w:t>评分依据</w:t>
            </w:r>
          </w:p>
        </w:tc>
        <w:tc>
          <w:tcPr>
            <w:tcW w:w="537" w:type="pct"/>
            <w:vAlign w:val="center"/>
          </w:tcPr>
          <w:p>
            <w:pPr>
              <w:snapToGrid w:val="0"/>
              <w:spacing w:line="560" w:lineRule="exact"/>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账套</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备份和恢复账套数据。</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增加、减少操作员及设置权限。</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2</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系统初始化</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设置编码方案。</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设置系统公用基础信息，包括部门档案、职员信息、客户信息、供应商信息和项目信息。</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设置收付结算方式，包括结算方式编码和名称。</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设置凭证类别。</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设置会计科目，包括指定科目、增加、修改、删除科目、确定科目属性；设置往来科目为受控科目，且选择受控为空。</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3</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固定资产模块</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初始化设置固定资产模块，包括设置控制参数、设置基础信息、录入原始卡片。</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固定资产增加、减少与生成记账凭证。</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计提固定资产折旧。</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固定资产模块结账。</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4</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职工薪酬</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初始化设置工资模块，包括设置基础信息、录入工资基础数据。</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设置工资项目的计算公式。</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录入工资数据并计算汇总。</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设置工资分摊公式与生成凭证。</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工资模块结账。</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5</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总账</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初始化设置总账模块，包括设置控制参数、录入科目初始数据。</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反记账与反审核。</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输入企业基本经济业务的通用记账凭证。</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根据权限进行记账凭证的查询、审核、记账和对账。</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总账模块的期末结账。</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0" w:type="pct"/>
            <w:vMerge w:val="restar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6</w:t>
            </w:r>
          </w:p>
        </w:tc>
        <w:tc>
          <w:tcPr>
            <w:tcW w:w="713" w:type="pct"/>
            <w:vMerge w:val="restart"/>
            <w:vAlign w:val="center"/>
          </w:tcPr>
          <w:p>
            <w:pPr>
              <w:snapToGrid w:val="0"/>
              <w:spacing w:line="560" w:lineRule="exact"/>
              <w:rPr>
                <w:rFonts w:ascii="仿宋" w:hAnsi="仿宋" w:eastAsia="仿宋" w:cs="仿宋"/>
                <w:sz w:val="24"/>
              </w:rPr>
            </w:pPr>
            <w:r>
              <w:rPr>
                <w:rFonts w:hint="eastAsia" w:ascii="仿宋" w:hAnsi="仿宋" w:eastAsia="仿宋" w:cs="仿宋"/>
                <w:sz w:val="24"/>
              </w:rPr>
              <w:t>报表管理</w:t>
            </w: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利用报表模板生成资产负债表、利润表。</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设置、修改资产负债表、利润表的报表格式和报表项目的公式。</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0" w:type="pct"/>
            <w:vMerge w:val="continue"/>
            <w:vAlign w:val="center"/>
          </w:tcPr>
          <w:p>
            <w:pPr>
              <w:snapToGrid w:val="0"/>
              <w:spacing w:line="560" w:lineRule="exact"/>
              <w:jc w:val="center"/>
              <w:rPr>
                <w:rFonts w:ascii="仿宋" w:hAnsi="仿宋" w:eastAsia="仿宋" w:cs="仿宋"/>
                <w:sz w:val="24"/>
              </w:rPr>
            </w:pPr>
          </w:p>
        </w:tc>
        <w:tc>
          <w:tcPr>
            <w:tcW w:w="713" w:type="pct"/>
            <w:vMerge w:val="continue"/>
            <w:vAlign w:val="center"/>
          </w:tcPr>
          <w:p>
            <w:pPr>
              <w:snapToGrid w:val="0"/>
              <w:spacing w:line="560" w:lineRule="exact"/>
              <w:rPr>
                <w:rFonts w:ascii="仿宋" w:hAnsi="仿宋" w:eastAsia="仿宋" w:cs="仿宋"/>
                <w:sz w:val="24"/>
              </w:rPr>
            </w:pPr>
          </w:p>
        </w:tc>
        <w:tc>
          <w:tcPr>
            <w:tcW w:w="3299" w:type="pct"/>
          </w:tcPr>
          <w:p>
            <w:pPr>
              <w:snapToGrid w:val="0"/>
              <w:spacing w:line="560" w:lineRule="exact"/>
              <w:rPr>
                <w:rFonts w:ascii="仿宋" w:hAnsi="仿宋" w:eastAsia="仿宋" w:cs="仿宋"/>
                <w:sz w:val="24"/>
              </w:rPr>
            </w:pPr>
            <w:r>
              <w:rPr>
                <w:rFonts w:hint="eastAsia" w:ascii="仿宋" w:hAnsi="仿宋" w:eastAsia="仿宋" w:cs="仿宋"/>
                <w:sz w:val="24"/>
              </w:rPr>
              <w:t>生成、保存和按要求输出资产负债表、利润表。</w:t>
            </w:r>
          </w:p>
        </w:tc>
        <w:tc>
          <w:tcPr>
            <w:tcW w:w="537"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1</w:t>
            </w:r>
          </w:p>
        </w:tc>
      </w:tr>
    </w:tbl>
    <w:p>
      <w:pPr>
        <w:snapToGrid w:val="0"/>
        <w:spacing w:line="560" w:lineRule="exact"/>
        <w:rPr>
          <w:rFonts w:ascii="楷体" w:hAnsi="楷体" w:eastAsia="楷体" w:cs="楷体"/>
          <w:kern w:val="0"/>
          <w:sz w:val="32"/>
          <w:szCs w:val="32"/>
        </w:rPr>
      </w:pPr>
    </w:p>
    <w:p>
      <w:pPr>
        <w:snapToGrid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（二）基础会计实务</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1.考试样题</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在规定时间内完成原始凭证的填制、记账凭证的填制、账簿的登记和会计报表的编制，时间60分钟，总分50分。</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2.评分标准</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17"/>
        <w:gridCol w:w="475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33" w:type="pct"/>
            <w:vAlign w:val="center"/>
          </w:tcPr>
          <w:p>
            <w:pPr>
              <w:spacing w:line="560" w:lineRule="exact"/>
              <w:ind w:left="-101" w:leftChars="-48"/>
              <w:jc w:val="center"/>
              <w:rPr>
                <w:rFonts w:ascii="仿宋" w:hAnsi="仿宋" w:eastAsia="仿宋" w:cs="仿宋"/>
                <w:b/>
                <w:bCs/>
                <w:sz w:val="24"/>
              </w:rPr>
            </w:pPr>
            <w:r>
              <w:rPr>
                <w:rFonts w:hint="eastAsia" w:ascii="仿宋" w:hAnsi="仿宋" w:eastAsia="仿宋" w:cs="仿宋"/>
                <w:b/>
                <w:bCs/>
                <w:sz w:val="24"/>
              </w:rPr>
              <w:t>序号</w:t>
            </w:r>
          </w:p>
        </w:tc>
        <w:tc>
          <w:tcPr>
            <w:tcW w:w="1242" w:type="pct"/>
            <w:vAlign w:val="center"/>
          </w:tcPr>
          <w:p>
            <w:pPr>
              <w:spacing w:line="560" w:lineRule="exact"/>
              <w:jc w:val="center"/>
              <w:rPr>
                <w:rFonts w:ascii="仿宋" w:hAnsi="仿宋" w:eastAsia="仿宋" w:cs="仿宋"/>
                <w:b/>
                <w:bCs/>
                <w:sz w:val="24"/>
              </w:rPr>
            </w:pPr>
            <w:r>
              <w:rPr>
                <w:rFonts w:hint="eastAsia" w:ascii="仿宋" w:hAnsi="仿宋" w:eastAsia="仿宋" w:cs="仿宋"/>
                <w:b/>
                <w:bCs/>
                <w:sz w:val="24"/>
              </w:rPr>
              <w:t>评分要点</w:t>
            </w:r>
          </w:p>
        </w:tc>
        <w:tc>
          <w:tcPr>
            <w:tcW w:w="2790" w:type="pct"/>
            <w:vAlign w:val="center"/>
          </w:tcPr>
          <w:p>
            <w:pPr>
              <w:spacing w:line="560" w:lineRule="exact"/>
              <w:jc w:val="center"/>
              <w:rPr>
                <w:rFonts w:ascii="仿宋" w:hAnsi="仿宋" w:eastAsia="仿宋" w:cs="仿宋"/>
                <w:b/>
                <w:bCs/>
                <w:sz w:val="24"/>
              </w:rPr>
            </w:pPr>
            <w:r>
              <w:rPr>
                <w:rFonts w:hint="eastAsia" w:ascii="仿宋" w:hAnsi="仿宋" w:eastAsia="仿宋" w:cs="仿宋"/>
                <w:b/>
                <w:bCs/>
                <w:sz w:val="24"/>
              </w:rPr>
              <w:t>评分依据</w:t>
            </w:r>
          </w:p>
        </w:tc>
        <w:tc>
          <w:tcPr>
            <w:tcW w:w="534" w:type="pct"/>
            <w:vAlign w:val="center"/>
          </w:tcPr>
          <w:p>
            <w:pPr>
              <w:spacing w:line="560" w:lineRule="exact"/>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33" w:type="pct"/>
            <w:vAlign w:val="center"/>
          </w:tcPr>
          <w:p>
            <w:pPr>
              <w:spacing w:line="560" w:lineRule="exact"/>
              <w:jc w:val="center"/>
              <w:rPr>
                <w:rFonts w:ascii="仿宋" w:hAnsi="仿宋" w:eastAsia="仿宋" w:cs="仿宋"/>
                <w:sz w:val="24"/>
              </w:rPr>
            </w:pPr>
            <w:r>
              <w:rPr>
                <w:rFonts w:hint="eastAsia" w:ascii="仿宋" w:hAnsi="仿宋" w:eastAsia="仿宋" w:cs="仿宋"/>
                <w:sz w:val="24"/>
              </w:rPr>
              <w:t>1</w:t>
            </w:r>
          </w:p>
        </w:tc>
        <w:tc>
          <w:tcPr>
            <w:tcW w:w="1242"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原始凭证的填制</w:t>
            </w:r>
          </w:p>
        </w:tc>
        <w:tc>
          <w:tcPr>
            <w:tcW w:w="2790" w:type="pct"/>
            <w:vAlign w:val="center"/>
          </w:tcPr>
          <w:p>
            <w:pPr>
              <w:spacing w:line="560" w:lineRule="exact"/>
              <w:jc w:val="left"/>
              <w:rPr>
                <w:rFonts w:ascii="仿宋" w:hAnsi="仿宋" w:eastAsia="仿宋" w:cs="仿宋"/>
                <w:sz w:val="24"/>
              </w:rPr>
            </w:pPr>
            <w:r>
              <w:rPr>
                <w:rFonts w:hint="eastAsia" w:ascii="仿宋" w:hAnsi="仿宋" w:eastAsia="仿宋" w:cs="仿宋"/>
                <w:sz w:val="24"/>
              </w:rPr>
              <w:t>会规范、正确、完整填制1张原始凭证。</w:t>
            </w:r>
          </w:p>
        </w:tc>
        <w:tc>
          <w:tcPr>
            <w:tcW w:w="534" w:type="pct"/>
            <w:vAlign w:val="center"/>
          </w:tcPr>
          <w:p>
            <w:pPr>
              <w:spacing w:line="5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33" w:type="pct"/>
            <w:vAlign w:val="center"/>
          </w:tcPr>
          <w:p>
            <w:pPr>
              <w:spacing w:line="560" w:lineRule="exact"/>
              <w:jc w:val="center"/>
              <w:rPr>
                <w:rFonts w:ascii="仿宋" w:hAnsi="仿宋" w:eastAsia="仿宋" w:cs="仿宋"/>
                <w:sz w:val="24"/>
              </w:rPr>
            </w:pPr>
            <w:r>
              <w:rPr>
                <w:rFonts w:hint="eastAsia" w:ascii="仿宋" w:hAnsi="仿宋" w:eastAsia="仿宋" w:cs="仿宋"/>
                <w:sz w:val="24"/>
              </w:rPr>
              <w:t>2</w:t>
            </w:r>
          </w:p>
        </w:tc>
        <w:tc>
          <w:tcPr>
            <w:tcW w:w="1242"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记账凭证的填制</w:t>
            </w:r>
          </w:p>
        </w:tc>
        <w:tc>
          <w:tcPr>
            <w:tcW w:w="2790" w:type="pct"/>
            <w:vAlign w:val="center"/>
          </w:tcPr>
          <w:p>
            <w:pPr>
              <w:spacing w:line="560" w:lineRule="exact"/>
              <w:jc w:val="left"/>
              <w:rPr>
                <w:rFonts w:ascii="仿宋" w:hAnsi="仿宋" w:eastAsia="仿宋" w:cs="仿宋"/>
                <w:sz w:val="24"/>
              </w:rPr>
            </w:pPr>
            <w:r>
              <w:rPr>
                <w:rFonts w:hint="eastAsia" w:ascii="仿宋" w:hAnsi="仿宋" w:eastAsia="仿宋" w:cs="仿宋"/>
                <w:sz w:val="24"/>
              </w:rPr>
              <w:t>会规范、正确、完整填制10笔经济业务的记账凭证。</w:t>
            </w:r>
          </w:p>
        </w:tc>
        <w:tc>
          <w:tcPr>
            <w:tcW w:w="534" w:type="pct"/>
            <w:vAlign w:val="center"/>
          </w:tcPr>
          <w:p>
            <w:pPr>
              <w:spacing w:line="560" w:lineRule="exact"/>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33" w:type="pct"/>
            <w:vAlign w:val="center"/>
          </w:tcPr>
          <w:p>
            <w:pPr>
              <w:spacing w:line="560" w:lineRule="exact"/>
              <w:jc w:val="center"/>
              <w:rPr>
                <w:rFonts w:ascii="仿宋" w:hAnsi="仿宋" w:eastAsia="仿宋" w:cs="仿宋"/>
                <w:sz w:val="24"/>
              </w:rPr>
            </w:pPr>
            <w:r>
              <w:rPr>
                <w:rFonts w:hint="eastAsia" w:ascii="仿宋" w:hAnsi="仿宋" w:eastAsia="仿宋" w:cs="仿宋"/>
                <w:sz w:val="24"/>
              </w:rPr>
              <w:t>3</w:t>
            </w:r>
          </w:p>
        </w:tc>
        <w:tc>
          <w:tcPr>
            <w:tcW w:w="1242"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账簿的登记</w:t>
            </w:r>
          </w:p>
        </w:tc>
        <w:tc>
          <w:tcPr>
            <w:tcW w:w="2790" w:type="pct"/>
            <w:vAlign w:val="center"/>
          </w:tcPr>
          <w:p>
            <w:pPr>
              <w:spacing w:line="560" w:lineRule="exact"/>
              <w:jc w:val="left"/>
              <w:rPr>
                <w:rFonts w:ascii="仿宋" w:hAnsi="仿宋" w:eastAsia="仿宋" w:cs="仿宋"/>
                <w:sz w:val="24"/>
              </w:rPr>
            </w:pPr>
            <w:r>
              <w:rPr>
                <w:rFonts w:hint="eastAsia" w:ascii="仿宋" w:hAnsi="仿宋" w:eastAsia="仿宋" w:cs="仿宋"/>
                <w:sz w:val="24"/>
              </w:rPr>
              <w:t>会规范、正确、完整登记1套日记账或明细账或总账。</w:t>
            </w:r>
          </w:p>
        </w:tc>
        <w:tc>
          <w:tcPr>
            <w:tcW w:w="534" w:type="pct"/>
            <w:vAlign w:val="center"/>
          </w:tcPr>
          <w:p>
            <w:pPr>
              <w:spacing w:line="56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3" w:type="pct"/>
            <w:vAlign w:val="center"/>
          </w:tcPr>
          <w:p>
            <w:pPr>
              <w:spacing w:line="560" w:lineRule="exact"/>
              <w:jc w:val="center"/>
              <w:rPr>
                <w:rFonts w:ascii="仿宋" w:hAnsi="仿宋" w:eastAsia="仿宋" w:cs="仿宋"/>
                <w:sz w:val="24"/>
              </w:rPr>
            </w:pPr>
            <w:r>
              <w:rPr>
                <w:rFonts w:hint="eastAsia" w:ascii="仿宋" w:hAnsi="仿宋" w:eastAsia="仿宋" w:cs="仿宋"/>
                <w:sz w:val="24"/>
              </w:rPr>
              <w:t>4</w:t>
            </w:r>
          </w:p>
        </w:tc>
        <w:tc>
          <w:tcPr>
            <w:tcW w:w="1242" w:type="pct"/>
            <w:vAlign w:val="center"/>
          </w:tcPr>
          <w:p>
            <w:pPr>
              <w:snapToGrid w:val="0"/>
              <w:spacing w:line="560" w:lineRule="exact"/>
              <w:jc w:val="center"/>
              <w:rPr>
                <w:rFonts w:ascii="仿宋" w:hAnsi="仿宋" w:eastAsia="仿宋" w:cs="仿宋"/>
                <w:sz w:val="24"/>
              </w:rPr>
            </w:pPr>
            <w:r>
              <w:rPr>
                <w:rFonts w:hint="eastAsia" w:ascii="仿宋" w:hAnsi="仿宋" w:eastAsia="仿宋" w:cs="仿宋"/>
                <w:sz w:val="24"/>
              </w:rPr>
              <w:t>会计报表的编制</w:t>
            </w:r>
          </w:p>
        </w:tc>
        <w:tc>
          <w:tcPr>
            <w:tcW w:w="2790" w:type="pct"/>
            <w:vAlign w:val="center"/>
          </w:tcPr>
          <w:p>
            <w:pPr>
              <w:spacing w:line="560" w:lineRule="exact"/>
              <w:jc w:val="left"/>
              <w:rPr>
                <w:rFonts w:ascii="仿宋" w:hAnsi="仿宋" w:eastAsia="仿宋" w:cs="仿宋"/>
                <w:sz w:val="24"/>
              </w:rPr>
            </w:pPr>
            <w:r>
              <w:rPr>
                <w:rFonts w:hint="eastAsia" w:ascii="仿宋" w:hAnsi="仿宋" w:eastAsia="仿宋" w:cs="仿宋"/>
                <w:sz w:val="24"/>
              </w:rPr>
              <w:t>会规范、正确编制1张资产负债表或利润表。</w:t>
            </w:r>
          </w:p>
        </w:tc>
        <w:tc>
          <w:tcPr>
            <w:tcW w:w="534" w:type="pct"/>
            <w:vAlign w:val="center"/>
          </w:tcPr>
          <w:p>
            <w:pPr>
              <w:spacing w:line="560" w:lineRule="exact"/>
              <w:jc w:val="center"/>
              <w:rPr>
                <w:rFonts w:ascii="仿宋" w:hAnsi="仿宋" w:eastAsia="仿宋" w:cs="仿宋"/>
                <w:sz w:val="24"/>
              </w:rPr>
            </w:pPr>
            <w:r>
              <w:rPr>
                <w:rFonts w:hint="eastAsia" w:ascii="仿宋" w:hAnsi="仿宋" w:eastAsia="仿宋" w:cs="仿宋"/>
                <w:sz w:val="24"/>
              </w:rPr>
              <w:t>5</w:t>
            </w:r>
          </w:p>
        </w:tc>
      </w:tr>
    </w:tbl>
    <w:p>
      <w:pPr>
        <w:snapToGrid w:val="0"/>
        <w:spacing w:line="560" w:lineRule="exact"/>
        <w:ind w:firstLine="480" w:firstLineChars="200"/>
        <w:rPr>
          <w:rFonts w:ascii="仿宋" w:hAnsi="仿宋" w:eastAsia="仿宋" w:cs="仿宋"/>
          <w:kern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34F"/>
    <w:rsid w:val="00092256"/>
    <w:rsid w:val="000D05EB"/>
    <w:rsid w:val="0010792D"/>
    <w:rsid w:val="00135B4D"/>
    <w:rsid w:val="00143AF1"/>
    <w:rsid w:val="0014456E"/>
    <w:rsid w:val="00155CB4"/>
    <w:rsid w:val="001A15FB"/>
    <w:rsid w:val="001A7896"/>
    <w:rsid w:val="001D3404"/>
    <w:rsid w:val="001F47A2"/>
    <w:rsid w:val="001F60F8"/>
    <w:rsid w:val="00230668"/>
    <w:rsid w:val="00257748"/>
    <w:rsid w:val="003004D3"/>
    <w:rsid w:val="0031205C"/>
    <w:rsid w:val="0035234F"/>
    <w:rsid w:val="00360206"/>
    <w:rsid w:val="00387B26"/>
    <w:rsid w:val="0039464C"/>
    <w:rsid w:val="003C4276"/>
    <w:rsid w:val="00424B21"/>
    <w:rsid w:val="004577BB"/>
    <w:rsid w:val="00477510"/>
    <w:rsid w:val="00477EF4"/>
    <w:rsid w:val="004E4C44"/>
    <w:rsid w:val="005765BD"/>
    <w:rsid w:val="00592FF5"/>
    <w:rsid w:val="005E1F3E"/>
    <w:rsid w:val="006100F7"/>
    <w:rsid w:val="006D605A"/>
    <w:rsid w:val="00731EE2"/>
    <w:rsid w:val="008161AC"/>
    <w:rsid w:val="00816736"/>
    <w:rsid w:val="008505D9"/>
    <w:rsid w:val="008572EE"/>
    <w:rsid w:val="00891BAC"/>
    <w:rsid w:val="008D0E9F"/>
    <w:rsid w:val="00985E03"/>
    <w:rsid w:val="009A3916"/>
    <w:rsid w:val="009B028E"/>
    <w:rsid w:val="009C09A3"/>
    <w:rsid w:val="009E2BDC"/>
    <w:rsid w:val="00A46748"/>
    <w:rsid w:val="00AB2BD3"/>
    <w:rsid w:val="00B14E34"/>
    <w:rsid w:val="00B548FE"/>
    <w:rsid w:val="00B6616A"/>
    <w:rsid w:val="00BD0595"/>
    <w:rsid w:val="00C07731"/>
    <w:rsid w:val="00C16E4E"/>
    <w:rsid w:val="00C61533"/>
    <w:rsid w:val="00C67806"/>
    <w:rsid w:val="00CB7964"/>
    <w:rsid w:val="00CD6425"/>
    <w:rsid w:val="00CF781F"/>
    <w:rsid w:val="00D63ABC"/>
    <w:rsid w:val="00D85251"/>
    <w:rsid w:val="00D8729E"/>
    <w:rsid w:val="00DB2D27"/>
    <w:rsid w:val="00DC00D0"/>
    <w:rsid w:val="00DE1BBD"/>
    <w:rsid w:val="00DE67F9"/>
    <w:rsid w:val="00E35DD9"/>
    <w:rsid w:val="00EE1FD9"/>
    <w:rsid w:val="00EF2C29"/>
    <w:rsid w:val="00F05D82"/>
    <w:rsid w:val="00F3651E"/>
    <w:rsid w:val="00F76E63"/>
    <w:rsid w:val="00F833D2"/>
    <w:rsid w:val="00F97B45"/>
    <w:rsid w:val="05A53409"/>
    <w:rsid w:val="06AF3003"/>
    <w:rsid w:val="0B9F3276"/>
    <w:rsid w:val="17010F8A"/>
    <w:rsid w:val="19CB4572"/>
    <w:rsid w:val="1A1C0AB1"/>
    <w:rsid w:val="1B8A5682"/>
    <w:rsid w:val="20BE5B32"/>
    <w:rsid w:val="21E04175"/>
    <w:rsid w:val="28FB6647"/>
    <w:rsid w:val="2BB02663"/>
    <w:rsid w:val="2D0714B3"/>
    <w:rsid w:val="2FCD385B"/>
    <w:rsid w:val="32EF50E7"/>
    <w:rsid w:val="33B1133D"/>
    <w:rsid w:val="33FF1E87"/>
    <w:rsid w:val="386554BF"/>
    <w:rsid w:val="3A3B41DE"/>
    <w:rsid w:val="3CA56CED"/>
    <w:rsid w:val="469D103F"/>
    <w:rsid w:val="51D474B1"/>
    <w:rsid w:val="52F040C3"/>
    <w:rsid w:val="535A7E1B"/>
    <w:rsid w:val="553E7491"/>
    <w:rsid w:val="56B07D85"/>
    <w:rsid w:val="5A7F2E78"/>
    <w:rsid w:val="5E0A1676"/>
    <w:rsid w:val="606F3C2B"/>
    <w:rsid w:val="609D4D3B"/>
    <w:rsid w:val="63A24A51"/>
    <w:rsid w:val="640D291E"/>
    <w:rsid w:val="65FF0ABE"/>
    <w:rsid w:val="67F70CEC"/>
    <w:rsid w:val="68F24EBF"/>
    <w:rsid w:val="69E240E2"/>
    <w:rsid w:val="760B042B"/>
    <w:rsid w:val="77C54B0F"/>
    <w:rsid w:val="7A39412E"/>
    <w:rsid w:val="7D611A07"/>
    <w:rsid w:val="7FC62E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 w:type="character" w:customStyle="1" w:styleId="8">
    <w:name w:val="页眉 字符"/>
    <w:link w:val="3"/>
    <w:qFormat/>
    <w:locked/>
    <w:uiPriority w:val="99"/>
    <w:rPr>
      <w:rFonts w:cs="Times New Roman"/>
      <w:sz w:val="18"/>
      <w:szCs w:val="18"/>
    </w:rPr>
  </w:style>
  <w:style w:type="character" w:customStyle="1" w:styleId="9">
    <w:name w:val="页脚 字符"/>
    <w:link w:val="2"/>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6</Pages>
  <Words>386</Words>
  <Characters>2204</Characters>
  <Lines>18</Lines>
  <Paragraphs>5</Paragraphs>
  <TotalTime>0</TotalTime>
  <ScaleCrop>false</ScaleCrop>
  <LinksUpToDate>false</LinksUpToDate>
  <CharactersWithSpaces>2585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2020-07-15T06:10:00Z</dcterms:created>
  <dc:creator>China</dc:creator>
  <cp:lastModifiedBy>不辣的皮皮特</cp:lastModifiedBy>
  <dcterms:modified xsi:type="dcterms:W3CDTF">2021-09-09T07:11:53Z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C31CB632A962474B89EFA8D663255FE8</vt:lpwstr>
  </property>
</Properties>
</file>