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r>
        <w:rPr>
          <w:rFonts w:hint="eastAsia" w:ascii="黑体" w:hAnsi="黑体" w:eastAsia="黑体" w:cs="黑体"/>
          <w:sz w:val="32"/>
          <w:szCs w:val="32"/>
          <w:lang w:val="zh-CN"/>
        </w:rPr>
        <w:t>附件2-</w:t>
      </w:r>
      <w:r>
        <w:rPr>
          <w:rFonts w:hint="eastAsia" w:ascii="黑体" w:hAnsi="黑体" w:eastAsia="黑体" w:cs="黑体"/>
          <w:sz w:val="32"/>
          <w:szCs w:val="32"/>
        </w:rPr>
        <w:t>20</w:t>
      </w:r>
    </w:p>
    <w:p>
      <w:pPr>
        <w:spacing w:line="360" w:lineRule="auto"/>
        <w:rPr>
          <w:rFonts w:ascii="黑体" w:hAnsi="黑体" w:eastAsia="黑体" w:cs="方正小标宋简体"/>
          <w:sz w:val="32"/>
          <w:szCs w:val="32"/>
          <w:lang w:val="zh-CN"/>
        </w:rPr>
      </w:pPr>
    </w:p>
    <w:p>
      <w:pPr>
        <w:spacing w:line="360" w:lineRule="auto"/>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202</w:t>
      </w:r>
      <w:r>
        <w:rPr>
          <w:rFonts w:ascii="方正小标宋简体" w:hAnsi="方正小标宋简体" w:eastAsia="方正小标宋简体" w:cs="方正小标宋简体"/>
          <w:sz w:val="40"/>
          <w:szCs w:val="40"/>
          <w:lang w:val="zh-CN"/>
        </w:rPr>
        <w:t>1</w:t>
      </w:r>
      <w:r>
        <w:rPr>
          <w:rFonts w:hint="eastAsia" w:ascii="方正小标宋简体" w:hAnsi="方正小标宋简体" w:eastAsia="方正小标宋简体" w:cs="方正小标宋简体"/>
          <w:sz w:val="40"/>
          <w:szCs w:val="40"/>
          <w:lang w:val="zh-CN"/>
        </w:rPr>
        <w:t>年江苏省中等职业学校学生学业水平考试</w:t>
      </w:r>
    </w:p>
    <w:p>
      <w:pPr>
        <w:spacing w:line="360" w:lineRule="auto"/>
        <w:jc w:val="center"/>
        <w:rPr>
          <w:rFonts w:hint="eastAsia"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幼儿发展与健康管理类专业基本技能</w:t>
      </w:r>
    </w:p>
    <w:p>
      <w:pPr>
        <w:spacing w:line="360" w:lineRule="auto"/>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指导性考试实施方案</w:t>
      </w:r>
    </w:p>
    <w:p>
      <w:pPr>
        <w:spacing w:before="156" w:beforeLines="50" w:after="156" w:afterLines="50" w:line="400" w:lineRule="exact"/>
        <w:ind w:firstLine="640" w:firstLineChars="200"/>
        <w:outlineLvl w:val="0"/>
        <w:rPr>
          <w:rFonts w:ascii="Times New Roman" w:hAnsi="Times New Roman" w:eastAsia="黑体" w:cs="黑体"/>
          <w:bCs/>
          <w:kern w:val="0"/>
          <w:sz w:val="32"/>
          <w:szCs w:val="32"/>
        </w:rPr>
      </w:pPr>
    </w:p>
    <w:p>
      <w:pPr>
        <w:spacing w:before="156" w:beforeLines="50" w:after="156" w:afterLines="50" w:line="400" w:lineRule="exact"/>
        <w:ind w:firstLine="640" w:firstLineChars="200"/>
        <w:outlineLvl w:val="0"/>
        <w:rPr>
          <w:rFonts w:ascii="Times New Roman" w:hAnsi="Times New Roman" w:eastAsia="黑体" w:cs="黑体"/>
          <w:bCs/>
          <w:kern w:val="0"/>
          <w:sz w:val="32"/>
          <w:szCs w:val="32"/>
        </w:rPr>
      </w:pPr>
      <w:r>
        <w:rPr>
          <w:rFonts w:ascii="Times New Roman" w:hAnsi="Times New Roman" w:eastAsia="黑体" w:cs="黑体"/>
          <w:bCs/>
          <w:kern w:val="0"/>
          <w:sz w:val="32"/>
          <w:szCs w:val="32"/>
        </w:rPr>
        <w:t>一、考试对象</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面向全省中等职业学校（含技工院校）</w:t>
      </w:r>
      <w:r>
        <w:rPr>
          <w:rFonts w:hint="eastAsia" w:ascii="仿宋" w:hAnsi="仿宋" w:eastAsia="仿宋" w:cs="仿宋"/>
          <w:color w:val="000000"/>
          <w:kern w:val="0"/>
          <w:sz w:val="32"/>
          <w:szCs w:val="32"/>
          <w:lang w:bidi="ar"/>
        </w:rPr>
        <w:t>2022届</w:t>
      </w:r>
      <w:r>
        <w:rPr>
          <w:rFonts w:hint="eastAsia" w:ascii="Times New Roman" w:hAnsi="Times New Roman" w:eastAsia="仿宋" w:cs="仿宋"/>
          <w:kern w:val="0"/>
          <w:sz w:val="32"/>
          <w:szCs w:val="32"/>
        </w:rPr>
        <w:t>学前教育、幼儿保育等相关专业考生。</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现代职教体系“3+3”“3+4”试点项目</w:t>
      </w:r>
      <w:r>
        <w:rPr>
          <w:rFonts w:hint="eastAsia" w:ascii="仿宋" w:hAnsi="仿宋" w:eastAsia="仿宋" w:cs="仿宋"/>
          <w:color w:val="000000"/>
          <w:kern w:val="0"/>
          <w:sz w:val="32"/>
          <w:szCs w:val="32"/>
          <w:lang w:bidi="ar"/>
        </w:rPr>
        <w:t>2022届</w:t>
      </w:r>
      <w:r>
        <w:rPr>
          <w:rFonts w:hint="eastAsia" w:ascii="Times New Roman" w:hAnsi="Times New Roman" w:eastAsia="仿宋" w:cs="仿宋"/>
          <w:kern w:val="0"/>
          <w:sz w:val="32"/>
          <w:szCs w:val="32"/>
        </w:rPr>
        <w:t>学生须参加考试。五年制高职学生是否参加考试，由各市教育局统筹安排。</w:t>
      </w:r>
    </w:p>
    <w:p>
      <w:pPr>
        <w:spacing w:before="156" w:beforeLines="50" w:after="156" w:afterLines="50" w:line="400" w:lineRule="exact"/>
        <w:ind w:firstLine="640" w:firstLineChars="200"/>
        <w:outlineLvl w:val="0"/>
        <w:rPr>
          <w:rFonts w:ascii="Times New Roman" w:hAnsi="Times New Roman" w:eastAsia="黑体" w:cs="黑体"/>
          <w:bCs/>
          <w:kern w:val="0"/>
          <w:sz w:val="32"/>
          <w:szCs w:val="32"/>
        </w:rPr>
      </w:pPr>
      <w:r>
        <w:rPr>
          <w:rFonts w:ascii="Times New Roman" w:hAnsi="Times New Roman" w:eastAsia="黑体" w:cs="黑体"/>
          <w:bCs/>
          <w:kern w:val="0"/>
          <w:sz w:val="32"/>
          <w:szCs w:val="32"/>
        </w:rPr>
        <w:t>二、考试内容、方式</w:t>
      </w:r>
      <w:r>
        <w:rPr>
          <w:rFonts w:hint="eastAsia" w:ascii="Times New Roman" w:hAnsi="Times New Roman" w:eastAsia="黑体" w:cs="黑体"/>
          <w:bCs/>
          <w:kern w:val="0"/>
          <w:sz w:val="32"/>
          <w:szCs w:val="32"/>
        </w:rPr>
        <w:t>、时长</w:t>
      </w:r>
      <w:r>
        <w:rPr>
          <w:rFonts w:ascii="Times New Roman" w:hAnsi="Times New Roman" w:eastAsia="黑体" w:cs="黑体"/>
          <w:bCs/>
          <w:kern w:val="0"/>
          <w:sz w:val="32"/>
          <w:szCs w:val="32"/>
        </w:rPr>
        <w:t>及</w:t>
      </w:r>
      <w:r>
        <w:rPr>
          <w:rFonts w:hint="eastAsia" w:ascii="Times New Roman" w:hAnsi="Times New Roman" w:eastAsia="黑体" w:cs="黑体"/>
          <w:bCs/>
          <w:kern w:val="0"/>
          <w:sz w:val="32"/>
          <w:szCs w:val="32"/>
        </w:rPr>
        <w:t>配分</w:t>
      </w:r>
    </w:p>
    <w:tbl>
      <w:tblPr>
        <w:tblStyle w:val="8"/>
        <w:tblW w:w="4865"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0"/>
        <w:gridCol w:w="1296"/>
        <w:gridCol w:w="1849"/>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考试内容</w:t>
            </w:r>
          </w:p>
        </w:tc>
        <w:tc>
          <w:tcPr>
            <w:tcW w:w="0" w:type="auto"/>
            <w:vAlign w:val="center"/>
          </w:tcPr>
          <w:p>
            <w:pPr>
              <w:spacing w:line="360" w:lineRule="auto"/>
              <w:contextualSpacing/>
              <w:jc w:val="center"/>
              <w:rPr>
                <w:rFonts w:ascii="Times New Roman" w:hAnsi="Times New Roman" w:eastAsia="仿宋_GB2312" w:cs="Times New Roman"/>
                <w:sz w:val="32"/>
                <w:szCs w:val="32"/>
              </w:rPr>
            </w:pPr>
            <w:r>
              <w:rPr>
                <w:rFonts w:hint="eastAsia" w:ascii="Times New Roman" w:hAnsi="Times New Roman" w:eastAsia="宋体" w:cs="仿宋"/>
                <w:b/>
                <w:sz w:val="24"/>
              </w:rPr>
              <w:t>方式</w:t>
            </w:r>
          </w:p>
        </w:tc>
        <w:tc>
          <w:tcPr>
            <w:tcW w:w="0" w:type="auto"/>
            <w:vAlign w:val="center"/>
          </w:tcPr>
          <w:p>
            <w:pPr>
              <w:spacing w:line="360" w:lineRule="auto"/>
              <w:contextualSpacing/>
              <w:jc w:val="center"/>
              <w:rPr>
                <w:rFonts w:ascii="Times New Roman" w:hAnsi="Times New Roman" w:eastAsia="仿宋_GB2312" w:cs="Times New Roman"/>
                <w:sz w:val="32"/>
                <w:szCs w:val="32"/>
              </w:rPr>
            </w:pPr>
            <w:r>
              <w:rPr>
                <w:rFonts w:hint="eastAsia" w:ascii="Times New Roman" w:hAnsi="Times New Roman" w:eastAsia="宋体" w:cs="仿宋"/>
                <w:b/>
                <w:sz w:val="24"/>
              </w:rPr>
              <w:t>时长</w:t>
            </w:r>
          </w:p>
        </w:tc>
        <w:tc>
          <w:tcPr>
            <w:tcW w:w="0" w:type="auto"/>
            <w:vAlign w:val="center"/>
          </w:tcPr>
          <w:p>
            <w:pPr>
              <w:spacing w:line="360" w:lineRule="auto"/>
              <w:contextualSpacing/>
              <w:jc w:val="center"/>
              <w:rPr>
                <w:rFonts w:ascii="Times New Roman" w:hAnsi="Times New Roman" w:eastAsia="仿宋_GB2312" w:cs="Times New Roman"/>
                <w:sz w:val="32"/>
                <w:szCs w:val="32"/>
              </w:rPr>
            </w:pPr>
            <w:r>
              <w:rPr>
                <w:rFonts w:hint="eastAsia" w:ascii="Times New Roman" w:hAnsi="Times New Roman" w:eastAsia="宋体" w:cs="仿宋"/>
                <w:b/>
                <w:sz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spacing w:line="360" w:lineRule="auto"/>
              <w:contextualSpacing/>
              <w:rPr>
                <w:rFonts w:ascii="Times New Roman" w:hAnsi="Times New Roman" w:eastAsia="仿宋" w:cs="仿宋"/>
                <w:kern w:val="0"/>
                <w:sz w:val="24"/>
                <w:szCs w:val="24"/>
              </w:rPr>
            </w:pPr>
            <w:r>
              <w:rPr>
                <w:rFonts w:hint="eastAsia" w:ascii="Times New Roman" w:hAnsi="Times New Roman" w:eastAsia="仿宋" w:cs="仿宋"/>
                <w:kern w:val="0"/>
                <w:sz w:val="24"/>
                <w:szCs w:val="24"/>
              </w:rPr>
              <w:t>儿童主题画创作</w:t>
            </w:r>
          </w:p>
        </w:tc>
        <w:tc>
          <w:tcPr>
            <w:tcW w:w="0" w:type="auto"/>
            <w:vAlign w:val="center"/>
          </w:tcPr>
          <w:p>
            <w:pPr>
              <w:spacing w:line="360" w:lineRule="auto"/>
              <w:contextualSpacing/>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实操</w:t>
            </w:r>
          </w:p>
        </w:tc>
        <w:tc>
          <w:tcPr>
            <w:tcW w:w="0" w:type="auto"/>
            <w:vAlign w:val="center"/>
          </w:tcPr>
          <w:p>
            <w:pPr>
              <w:spacing w:line="360" w:lineRule="auto"/>
              <w:contextualSpacing/>
              <w:jc w:val="center"/>
              <w:rPr>
                <w:rFonts w:ascii="Times New Roman" w:hAnsi="Times New Roman" w:eastAsia="仿宋" w:cs="仿宋"/>
                <w:kern w:val="0"/>
                <w:sz w:val="24"/>
                <w:szCs w:val="24"/>
              </w:rPr>
            </w:pPr>
            <w:r>
              <w:rPr>
                <w:rFonts w:hint="eastAsia" w:ascii="Times New Roman" w:hAnsi="Times New Roman" w:eastAsia="宋体"/>
                <w:sz w:val="24"/>
              </w:rPr>
              <w:t>60</w:t>
            </w:r>
            <w:r>
              <w:rPr>
                <w:rFonts w:hint="eastAsia" w:ascii="Times New Roman" w:hAnsi="Times New Roman" w:eastAsia="仿宋" w:cs="仿宋"/>
                <w:kern w:val="0"/>
                <w:sz w:val="24"/>
                <w:szCs w:val="24"/>
              </w:rPr>
              <w:t>分钟</w:t>
            </w:r>
          </w:p>
        </w:tc>
        <w:tc>
          <w:tcPr>
            <w:tcW w:w="0" w:type="auto"/>
            <w:vAlign w:val="center"/>
          </w:tcPr>
          <w:p>
            <w:pPr>
              <w:spacing w:line="360" w:lineRule="auto"/>
              <w:contextualSpacing/>
              <w:jc w:val="center"/>
              <w:rPr>
                <w:rFonts w:ascii="Times New Roman" w:hAnsi="Times New Roman" w:eastAsia="仿宋" w:cs="仿宋"/>
                <w:kern w:val="0"/>
                <w:sz w:val="24"/>
                <w:szCs w:val="24"/>
              </w:rPr>
            </w:pPr>
            <w:r>
              <w:rPr>
                <w:rFonts w:hint="eastAsia" w:ascii="Times New Roman" w:hAnsi="Times New Roman" w:eastAsia="宋体"/>
                <w:sz w:val="24"/>
              </w:rPr>
              <w:t>50</w:t>
            </w:r>
            <w:r>
              <w:rPr>
                <w:rFonts w:hint="eastAsia" w:ascii="Times New Roman" w:hAnsi="Times New Roman" w:eastAsia="仿宋"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pPr>
              <w:spacing w:line="360" w:lineRule="auto"/>
              <w:contextualSpacing/>
              <w:rPr>
                <w:rFonts w:ascii="Times New Roman" w:hAnsi="Times New Roman" w:eastAsia="仿宋" w:cs="仿宋"/>
                <w:kern w:val="0"/>
                <w:sz w:val="24"/>
                <w:szCs w:val="24"/>
              </w:rPr>
            </w:pPr>
            <w:r>
              <w:rPr>
                <w:rFonts w:hint="eastAsia" w:ascii="Times New Roman" w:hAnsi="Times New Roman" w:eastAsia="仿宋" w:cs="仿宋"/>
                <w:kern w:val="0"/>
                <w:sz w:val="24"/>
                <w:szCs w:val="24"/>
              </w:rPr>
              <w:t>儿童歌曲弹奏</w:t>
            </w:r>
          </w:p>
        </w:tc>
        <w:tc>
          <w:tcPr>
            <w:tcW w:w="0" w:type="auto"/>
            <w:vAlign w:val="center"/>
          </w:tcPr>
          <w:p>
            <w:pPr>
              <w:spacing w:line="360" w:lineRule="auto"/>
              <w:contextualSpacing/>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实操</w:t>
            </w:r>
          </w:p>
        </w:tc>
        <w:tc>
          <w:tcPr>
            <w:tcW w:w="0" w:type="auto"/>
            <w:vAlign w:val="center"/>
          </w:tcPr>
          <w:p>
            <w:pPr>
              <w:spacing w:line="360" w:lineRule="auto"/>
              <w:contextualSpacing/>
              <w:jc w:val="center"/>
              <w:rPr>
                <w:rFonts w:ascii="Times New Roman" w:hAnsi="Times New Roman" w:eastAsia="仿宋" w:cs="仿宋"/>
                <w:kern w:val="0"/>
                <w:sz w:val="24"/>
                <w:szCs w:val="24"/>
              </w:rPr>
            </w:pPr>
            <w:r>
              <w:rPr>
                <w:rFonts w:hint="eastAsia" w:ascii="Times New Roman" w:hAnsi="Times New Roman" w:eastAsia="宋体"/>
                <w:sz w:val="24"/>
              </w:rPr>
              <w:t>25</w:t>
            </w:r>
            <w:r>
              <w:rPr>
                <w:rFonts w:hint="eastAsia" w:ascii="Times New Roman" w:hAnsi="Times New Roman" w:eastAsia="仿宋" w:cs="仿宋"/>
                <w:kern w:val="0"/>
                <w:sz w:val="24"/>
                <w:szCs w:val="24"/>
              </w:rPr>
              <w:t>分钟</w:t>
            </w:r>
          </w:p>
        </w:tc>
        <w:tc>
          <w:tcPr>
            <w:tcW w:w="0" w:type="auto"/>
            <w:vAlign w:val="center"/>
          </w:tcPr>
          <w:p>
            <w:pPr>
              <w:spacing w:line="360" w:lineRule="auto"/>
              <w:contextualSpacing/>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2"/>
            <w:vAlign w:val="center"/>
          </w:tcPr>
          <w:p>
            <w:pPr>
              <w:spacing w:line="360" w:lineRule="auto"/>
              <w:contextualSpacing/>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总计</w:t>
            </w:r>
          </w:p>
        </w:tc>
        <w:tc>
          <w:tcPr>
            <w:tcW w:w="0" w:type="auto"/>
            <w:vAlign w:val="center"/>
          </w:tcPr>
          <w:p>
            <w:pPr>
              <w:spacing w:line="360" w:lineRule="auto"/>
              <w:contextualSpacing/>
              <w:jc w:val="center"/>
              <w:rPr>
                <w:rFonts w:ascii="Times New Roman" w:hAnsi="Times New Roman" w:eastAsia="仿宋" w:cs="仿宋"/>
                <w:kern w:val="0"/>
                <w:sz w:val="24"/>
                <w:szCs w:val="24"/>
              </w:rPr>
            </w:pPr>
            <w:r>
              <w:rPr>
                <w:rFonts w:hint="eastAsia" w:ascii="Times New Roman" w:hAnsi="Times New Roman" w:eastAsia="宋体"/>
                <w:sz w:val="24"/>
              </w:rPr>
              <w:t>85</w:t>
            </w:r>
            <w:r>
              <w:rPr>
                <w:rFonts w:hint="eastAsia" w:ascii="Times New Roman" w:hAnsi="Times New Roman" w:eastAsia="仿宋" w:cs="仿宋"/>
                <w:kern w:val="0"/>
                <w:sz w:val="24"/>
                <w:szCs w:val="24"/>
              </w:rPr>
              <w:t>分钟</w:t>
            </w:r>
          </w:p>
        </w:tc>
        <w:tc>
          <w:tcPr>
            <w:tcW w:w="0" w:type="auto"/>
            <w:vAlign w:val="center"/>
          </w:tcPr>
          <w:p>
            <w:pPr>
              <w:spacing w:line="360" w:lineRule="auto"/>
              <w:contextualSpacing/>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100分</w:t>
            </w:r>
          </w:p>
        </w:tc>
      </w:tr>
    </w:tbl>
    <w:p>
      <w:pPr>
        <w:spacing w:before="156" w:beforeLines="50" w:after="156" w:afterLines="50" w:line="400" w:lineRule="exact"/>
        <w:ind w:firstLine="640" w:firstLineChars="200"/>
        <w:outlineLvl w:val="0"/>
        <w:rPr>
          <w:rFonts w:ascii="Times New Roman" w:hAnsi="Times New Roman" w:eastAsia="黑体" w:cs="Times New Roman"/>
          <w:kern w:val="0"/>
          <w:sz w:val="32"/>
          <w:szCs w:val="32"/>
        </w:rPr>
      </w:pPr>
      <w:r>
        <w:rPr>
          <w:rFonts w:ascii="Times New Roman" w:hAnsi="Times New Roman" w:eastAsia="黑体" w:cs="黑体"/>
          <w:bCs/>
          <w:kern w:val="0"/>
          <w:sz w:val="32"/>
          <w:szCs w:val="32"/>
        </w:rPr>
        <w:t>三、考试时间</w:t>
      </w:r>
    </w:p>
    <w:p>
      <w:pPr>
        <w:spacing w:line="360" w:lineRule="auto"/>
        <w:ind w:firstLine="640" w:firstLineChars="200"/>
        <w:rPr>
          <w:rFonts w:ascii="Times New Roman" w:hAnsi="Times New Roman" w:eastAsia="仿宋" w:cs="仿宋"/>
          <w:kern w:val="0"/>
          <w:sz w:val="32"/>
          <w:szCs w:val="32"/>
        </w:rPr>
      </w:pPr>
      <w:r>
        <w:rPr>
          <w:rFonts w:ascii="Times New Roman" w:hAnsi="Times New Roman" w:eastAsia="仿宋" w:cs="仿宋"/>
          <w:kern w:val="0"/>
          <w:sz w:val="32"/>
          <w:szCs w:val="32"/>
        </w:rPr>
        <w:t>20</w:t>
      </w:r>
      <w:r>
        <w:rPr>
          <w:rFonts w:hint="eastAsia" w:ascii="Times New Roman" w:hAnsi="Times New Roman" w:eastAsia="仿宋" w:cs="仿宋"/>
          <w:kern w:val="0"/>
          <w:sz w:val="32"/>
          <w:szCs w:val="32"/>
        </w:rPr>
        <w:t>2</w:t>
      </w:r>
      <w:r>
        <w:rPr>
          <w:rFonts w:ascii="Times New Roman" w:hAnsi="Times New Roman" w:eastAsia="仿宋" w:cs="仿宋"/>
          <w:kern w:val="0"/>
          <w:sz w:val="32"/>
          <w:szCs w:val="32"/>
        </w:rPr>
        <w:t>1年11月</w:t>
      </w:r>
      <w:r>
        <w:rPr>
          <w:rFonts w:hint="eastAsia" w:ascii="Times New Roman" w:hAnsi="Times New Roman" w:eastAsia="仿宋" w:cs="仿宋"/>
          <w:kern w:val="0"/>
          <w:sz w:val="32"/>
          <w:szCs w:val="32"/>
        </w:rPr>
        <w:t>中旬</w:t>
      </w:r>
      <w:r>
        <w:rPr>
          <w:rFonts w:ascii="Times New Roman" w:hAnsi="Times New Roman" w:eastAsia="仿宋" w:cs="仿宋"/>
          <w:kern w:val="0"/>
          <w:sz w:val="32"/>
          <w:szCs w:val="32"/>
        </w:rPr>
        <w:t>。</w:t>
      </w:r>
    </w:p>
    <w:p>
      <w:pPr>
        <w:spacing w:before="156" w:beforeLines="50" w:after="156" w:afterLines="50" w:line="40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四</w:t>
      </w:r>
      <w:r>
        <w:rPr>
          <w:rFonts w:ascii="Times New Roman" w:hAnsi="Times New Roman" w:eastAsia="黑体" w:cs="黑体"/>
          <w:bCs/>
          <w:kern w:val="0"/>
          <w:sz w:val="32"/>
          <w:szCs w:val="32"/>
        </w:rPr>
        <w:t>、组织实施</w:t>
      </w:r>
    </w:p>
    <w:p>
      <w:pPr>
        <w:spacing w:line="360" w:lineRule="auto"/>
        <w:ind w:firstLine="640" w:firstLineChars="200"/>
        <w:contextualSpacing/>
        <w:rPr>
          <w:rFonts w:hint="eastAsia" w:ascii="仿宋" w:hAnsi="仿宋" w:eastAsia="仿宋" w:cs="仿宋"/>
          <w:kern w:val="0"/>
          <w:sz w:val="32"/>
          <w:szCs w:val="32"/>
        </w:rPr>
      </w:pPr>
      <w:bookmarkStart w:id="0" w:name="_GoBack"/>
      <w:r>
        <w:rPr>
          <w:rFonts w:hint="eastAsia" w:ascii="仿宋" w:hAnsi="仿宋" w:eastAsia="仿宋" w:cs="仿宋"/>
          <w:kern w:val="0"/>
          <w:sz w:val="32"/>
          <w:szCs w:val="32"/>
        </w:rPr>
        <w:t>（一）考点设置</w:t>
      </w:r>
    </w:p>
    <w:bookmarkEnd w:id="0"/>
    <w:tbl>
      <w:tblPr>
        <w:tblStyle w:val="7"/>
        <w:tblW w:w="4998" w:type="pct"/>
        <w:tblInd w:w="0" w:type="dxa"/>
        <w:tblLayout w:type="autofit"/>
        <w:tblCellMar>
          <w:top w:w="0" w:type="dxa"/>
          <w:left w:w="0" w:type="dxa"/>
          <w:bottom w:w="0" w:type="dxa"/>
          <w:right w:w="0" w:type="dxa"/>
        </w:tblCellMar>
      </w:tblPr>
      <w:tblGrid>
        <w:gridCol w:w="883"/>
        <w:gridCol w:w="949"/>
        <w:gridCol w:w="4669"/>
        <w:gridCol w:w="1832"/>
      </w:tblGrid>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城市</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考点学校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备注</w:t>
            </w: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南京</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南京市玄武中等专业学校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无锡</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宜兴高等职业技术学校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FF0000"/>
                <w:kern w:val="0"/>
                <w:sz w:val="24"/>
                <w:szCs w:val="24"/>
                <w:lang w:val="en-US" w:eastAsia="zh-CN"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徐州</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江苏省铜山中等专业学校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徐州</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江苏省车辐中等专业学校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常州</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江苏省溧阳中等专业学校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常州</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常州幼儿师范学校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南通</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江苏省南通中等专业学校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FF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南通</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江苏省如东中等专业学校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FF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连云港</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江苏省连云港中等专业学校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连云港</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江苏省赣榆中等专业学校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连云港</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江苏省东海中等专业学校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连云港</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江苏省灌云中等专业学校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淮安</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江苏省淮安中等专业学校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盐城</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阜宁县现代服务中等专业学校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FF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盐城</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盐城幼儿师范高等专科学校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扬州</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江苏省扬州旅游商贸学校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17</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镇江</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镇江市高等专科学校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18</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泰州</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泰州机电高等职业技术学校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19</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泰州</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江苏省姜堰中等专业学校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6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宿迁</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宿迁高等师范学校</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r>
    </w:tbl>
    <w:p>
      <w:pPr>
        <w:snapToGrid w:val="0"/>
        <w:spacing w:line="560" w:lineRule="exact"/>
        <w:ind w:firstLine="560" w:firstLineChars="200"/>
        <w:outlineLvl w:val="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注：尚未建标准化考点的学校，可依托校内实训室开展2021年专业基本技能考试。</w:t>
      </w:r>
    </w:p>
    <w:p>
      <w:pPr>
        <w:spacing w:line="360" w:lineRule="auto"/>
        <w:ind w:firstLine="640" w:firstLineChars="200"/>
        <w:outlineLvl w:val="1"/>
        <w:rPr>
          <w:rFonts w:hint="eastAsia" w:ascii="仿宋" w:hAnsi="仿宋" w:eastAsia="仿宋" w:cs="仿宋"/>
          <w:kern w:val="0"/>
          <w:sz w:val="32"/>
          <w:szCs w:val="32"/>
        </w:rPr>
      </w:pPr>
      <w:r>
        <w:rPr>
          <w:rFonts w:hint="eastAsia" w:ascii="仿宋" w:hAnsi="仿宋" w:eastAsia="仿宋" w:cs="仿宋"/>
          <w:kern w:val="0"/>
          <w:sz w:val="32"/>
          <w:szCs w:val="32"/>
        </w:rPr>
        <w:t>（二）考试组织</w:t>
      </w:r>
    </w:p>
    <w:p>
      <w:pPr>
        <w:spacing w:line="360" w:lineRule="auto"/>
        <w:ind w:firstLine="645"/>
        <w:rPr>
          <w:rFonts w:ascii="Times New Roman" w:hAnsi="Times New Roman" w:eastAsia="仿宋_GB2312" w:cs="Times New Roman"/>
          <w:sz w:val="32"/>
          <w:szCs w:val="32"/>
        </w:rPr>
      </w:pPr>
      <w:r>
        <w:rPr>
          <w:rFonts w:hint="eastAsia" w:ascii="仿宋" w:hAnsi="仿宋" w:eastAsia="仿宋" w:cs="仿宋"/>
          <w:bCs/>
          <w:color w:val="000000"/>
          <w:kern w:val="0"/>
          <w:sz w:val="32"/>
          <w:szCs w:val="32"/>
        </w:rPr>
        <w:t xml:space="preserve">省教育考试院和省中职学考办公室负责考务组织管理与协调工作，各市教育行政部门、招考系统负责具体实施。专业委员会负责协调本专业类有关考点院校，协同各设区市教育行政部门、招考部门完成本专业类专业技能考试。考点学校应组建技术团队，加强考试平台维护，确保正常运行。 </w:t>
      </w:r>
      <w:r>
        <w:rPr>
          <w:rFonts w:ascii="Times New Roman" w:hAnsi="Times New Roman" w:eastAsia="仿宋_GB2312" w:cs="Times New Roman"/>
          <w:sz w:val="32"/>
          <w:szCs w:val="32"/>
        </w:rPr>
        <w:t xml:space="preserve">   </w:t>
      </w:r>
    </w:p>
    <w:p>
      <w:pPr>
        <w:spacing w:line="360" w:lineRule="auto"/>
        <w:ind w:firstLine="645"/>
        <w:rPr>
          <w:rFonts w:hint="eastAsia" w:ascii="仿宋" w:hAnsi="仿宋" w:eastAsia="仿宋" w:cs="仿宋"/>
          <w:kern w:val="0"/>
          <w:sz w:val="32"/>
          <w:szCs w:val="32"/>
        </w:rPr>
      </w:pPr>
      <w:r>
        <w:rPr>
          <w:rFonts w:hint="eastAsia" w:ascii="仿宋" w:hAnsi="仿宋" w:eastAsia="仿宋" w:cs="仿宋"/>
          <w:kern w:val="0"/>
          <w:sz w:val="32"/>
          <w:szCs w:val="32"/>
        </w:rPr>
        <w:t>（三）考场安排</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1.儿童歌曲弹奏考场</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1间电钢琴教室，面积约为100</w:t>
      </w:r>
      <w:r>
        <w:rPr>
          <w:rFonts w:hint="eastAsia" w:ascii="仿宋" w:hAnsi="仿宋" w:eastAsia="仿宋" w:cs="仿宋"/>
          <w:kern w:val="0"/>
          <w:sz w:val="32"/>
          <w:szCs w:val="32"/>
        </w:rPr>
        <w:t>～</w:t>
      </w:r>
      <w:r>
        <w:rPr>
          <w:rFonts w:hint="eastAsia" w:ascii="Times New Roman" w:hAnsi="Times New Roman" w:eastAsia="仿宋" w:cs="仿宋"/>
          <w:kern w:val="0"/>
          <w:sz w:val="32"/>
          <w:szCs w:val="32"/>
        </w:rPr>
        <w:t>120平方米，设有32</w:t>
      </w:r>
      <w:r>
        <w:rPr>
          <w:rFonts w:hint="eastAsia" w:ascii="仿宋" w:hAnsi="仿宋" w:eastAsia="仿宋" w:cs="仿宋"/>
          <w:kern w:val="0"/>
          <w:sz w:val="32"/>
          <w:szCs w:val="32"/>
        </w:rPr>
        <w:t>～</w:t>
      </w:r>
      <w:r>
        <w:rPr>
          <w:rFonts w:hint="eastAsia" w:ascii="Times New Roman" w:hAnsi="Times New Roman" w:eastAsia="仿宋" w:cs="仿宋"/>
          <w:kern w:val="0"/>
          <w:sz w:val="32"/>
          <w:szCs w:val="32"/>
        </w:rPr>
        <w:t>34个工位（30个考试工位，2</w:t>
      </w:r>
      <w:r>
        <w:rPr>
          <w:rFonts w:hint="eastAsia" w:ascii="仿宋" w:hAnsi="仿宋" w:eastAsia="仿宋" w:cs="仿宋"/>
          <w:kern w:val="0"/>
          <w:sz w:val="32"/>
          <w:szCs w:val="32"/>
        </w:rPr>
        <w:t>～</w:t>
      </w:r>
      <w:r>
        <w:rPr>
          <w:rFonts w:hint="eastAsia" w:ascii="Times New Roman" w:hAnsi="Times New Roman" w:eastAsia="仿宋" w:cs="仿宋"/>
          <w:kern w:val="0"/>
          <w:sz w:val="32"/>
          <w:szCs w:val="32"/>
        </w:rPr>
        <w:t>4个备用工位）。</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2.儿童主题画创作考场</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3间标准教室，面积不小于50平方米/间，每间设有32</w:t>
      </w:r>
      <w:r>
        <w:rPr>
          <w:rFonts w:hint="eastAsia" w:ascii="仿宋" w:hAnsi="仿宋" w:eastAsia="仿宋" w:cs="仿宋"/>
          <w:kern w:val="0"/>
          <w:sz w:val="32"/>
          <w:szCs w:val="32"/>
        </w:rPr>
        <w:t>～</w:t>
      </w:r>
      <w:r>
        <w:rPr>
          <w:rFonts w:hint="eastAsia" w:ascii="Times New Roman" w:hAnsi="Times New Roman" w:eastAsia="仿宋" w:cs="仿宋"/>
          <w:kern w:val="0"/>
          <w:sz w:val="32"/>
          <w:szCs w:val="32"/>
        </w:rPr>
        <w:t>34个工位（30个考试工位，2</w:t>
      </w:r>
      <w:r>
        <w:rPr>
          <w:rFonts w:hint="eastAsia" w:ascii="仿宋" w:hAnsi="仿宋" w:eastAsia="仿宋" w:cs="仿宋"/>
          <w:kern w:val="0"/>
          <w:sz w:val="32"/>
          <w:szCs w:val="32"/>
        </w:rPr>
        <w:t>～</w:t>
      </w:r>
      <w:r>
        <w:rPr>
          <w:rFonts w:hint="eastAsia" w:ascii="Times New Roman" w:hAnsi="Times New Roman" w:eastAsia="仿宋" w:cs="仿宋"/>
          <w:kern w:val="0"/>
          <w:sz w:val="32"/>
          <w:szCs w:val="32"/>
        </w:rPr>
        <w:t>4个备用工位）。建议安排美术教室或书法教室。</w:t>
      </w:r>
    </w:p>
    <w:p>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（四）评分方式</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儿童主题画创作、儿童歌曲弹奏现场实操考试结束后，由考评专家依据《江苏省中等职业学校学生学业水平考试幼儿发展与健康管理类专业基本技能考试标准》对考生美术作品、录制弹奏曲目进行集中阅卷评分。</w:t>
      </w:r>
    </w:p>
    <w:p>
      <w:pPr>
        <w:spacing w:line="360" w:lineRule="auto"/>
        <w:ind w:firstLine="640" w:firstLineChars="20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五、考点设备配置要求</w:t>
      </w:r>
    </w:p>
    <w:p>
      <w:pPr>
        <w:spacing w:line="360" w:lineRule="auto"/>
        <w:ind w:firstLine="640" w:firstLineChars="200"/>
        <w:jc w:val="left"/>
        <w:rPr>
          <w:rFonts w:ascii="Times New Roman" w:hAnsi="Times New Roman" w:eastAsia="仿宋" w:cs="仿宋"/>
          <w:kern w:val="0"/>
          <w:sz w:val="32"/>
          <w:szCs w:val="32"/>
        </w:rPr>
      </w:pPr>
      <w:r>
        <w:rPr>
          <w:rFonts w:hint="eastAsia" w:ascii="Times New Roman" w:hAnsi="Times New Roman" w:eastAsia="仿宋" w:cs="仿宋"/>
          <w:kern w:val="0"/>
          <w:sz w:val="32"/>
          <w:szCs w:val="32"/>
        </w:rPr>
        <w:t>详见《江苏省中等职业学校学业水平考试幼儿发展与健康管理类专业技能考试考点建设标准（试行）》。</w:t>
      </w:r>
    </w:p>
    <w:p>
      <w:pPr>
        <w:spacing w:line="360" w:lineRule="auto"/>
        <w:ind w:firstLine="640" w:firstLineChars="20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六、考试样题及评分标准</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（一）</w:t>
      </w:r>
      <w:r>
        <w:rPr>
          <w:rFonts w:ascii="仿宋" w:hAnsi="仿宋" w:eastAsia="仿宋" w:cs="仿宋"/>
          <w:bCs/>
          <w:sz w:val="32"/>
          <w:szCs w:val="32"/>
        </w:rPr>
        <w:t>儿童</w:t>
      </w:r>
      <w:r>
        <w:rPr>
          <w:rFonts w:hint="eastAsia" w:ascii="仿宋" w:hAnsi="仿宋" w:eastAsia="仿宋" w:cs="仿宋"/>
          <w:bCs/>
          <w:sz w:val="32"/>
          <w:szCs w:val="32"/>
        </w:rPr>
        <w:t>主题画创作</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1.考试样题</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在规定时间内，以“夏天来了”为主题，在8开素描纸上，运用简笔画造型完成创作，运用马克笔、油画棒、勾线笔等绘画工具进行着色。考试</w:t>
      </w:r>
      <w:r>
        <w:rPr>
          <w:rFonts w:ascii="Times New Roman" w:hAnsi="Times New Roman" w:eastAsia="仿宋" w:cs="仿宋"/>
          <w:kern w:val="0"/>
          <w:sz w:val="32"/>
          <w:szCs w:val="32"/>
        </w:rPr>
        <w:t>时间</w:t>
      </w:r>
      <w:r>
        <w:rPr>
          <w:rFonts w:hint="eastAsia" w:ascii="Times New Roman" w:hAnsi="Times New Roman" w:eastAsia="仿宋" w:cs="仿宋"/>
          <w:kern w:val="0"/>
          <w:sz w:val="32"/>
          <w:szCs w:val="32"/>
        </w:rPr>
        <w:t>6</w:t>
      </w:r>
      <w:r>
        <w:rPr>
          <w:rFonts w:ascii="Times New Roman" w:hAnsi="Times New Roman" w:eastAsia="仿宋" w:cs="仿宋"/>
          <w:kern w:val="0"/>
          <w:sz w:val="32"/>
          <w:szCs w:val="32"/>
        </w:rPr>
        <w:t>0分钟</w:t>
      </w:r>
      <w:r>
        <w:rPr>
          <w:rFonts w:hint="eastAsia" w:ascii="Times New Roman" w:hAnsi="Times New Roman" w:eastAsia="仿宋" w:cs="仿宋"/>
          <w:kern w:val="0"/>
          <w:sz w:val="32"/>
          <w:szCs w:val="32"/>
        </w:rPr>
        <w:t>，总分50分。</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2.评分标准</w:t>
      </w:r>
    </w:p>
    <w:tbl>
      <w:tblPr>
        <w:tblStyle w:val="7"/>
        <w:tblW w:w="8437"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69"/>
        <w:gridCol w:w="5395"/>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仿宋"/>
                <w:b/>
                <w:sz w:val="24"/>
              </w:rPr>
            </w:pPr>
            <w:r>
              <w:rPr>
                <w:rFonts w:ascii="Times New Roman" w:hAnsi="Times New Roman" w:eastAsia="宋体" w:cs="仿宋"/>
                <w:b/>
                <w:sz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仿宋"/>
                <w:b/>
                <w:sz w:val="24"/>
              </w:rPr>
            </w:pPr>
            <w:r>
              <w:rPr>
                <w:rFonts w:ascii="Times New Roman" w:hAnsi="Times New Roman" w:eastAsia="宋体" w:cs="仿宋"/>
                <w:b/>
                <w:sz w:val="24"/>
              </w:rPr>
              <w:t>评分要点</w:t>
            </w:r>
          </w:p>
        </w:tc>
        <w:tc>
          <w:tcPr>
            <w:tcW w:w="50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仿宋"/>
                <w:b/>
                <w:sz w:val="24"/>
              </w:rPr>
            </w:pPr>
            <w:r>
              <w:rPr>
                <w:rFonts w:ascii="Times New Roman" w:hAnsi="Times New Roman" w:eastAsia="宋体" w:cs="仿宋"/>
                <w:b/>
                <w:sz w:val="24"/>
              </w:rPr>
              <w:t>评分依据</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仿宋"/>
                <w:b/>
                <w:sz w:val="24"/>
              </w:rPr>
            </w:pPr>
            <w:r>
              <w:rPr>
                <w:rFonts w:ascii="Times New Roman" w:hAnsi="Times New Roman" w:eastAsia="宋体" w:cs="仿宋"/>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000000"/>
                <w:sz w:val="24"/>
              </w:rPr>
            </w:pPr>
            <w:r>
              <w:rPr>
                <w:rFonts w:ascii="Times New Roman" w:hAnsi="Times New Roman" w:eastAsia="宋体"/>
                <w:color w:val="000000"/>
                <w:sz w:val="24"/>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olor w:val="000000"/>
                <w:sz w:val="24"/>
              </w:rPr>
            </w:pPr>
            <w:r>
              <w:rPr>
                <w:rFonts w:hint="eastAsia" w:ascii="Times New Roman" w:hAnsi="Times New Roman" w:eastAsia="宋体"/>
                <w:color w:val="000000"/>
                <w:sz w:val="24"/>
              </w:rPr>
              <w:t>造型</w:t>
            </w:r>
          </w:p>
        </w:tc>
        <w:tc>
          <w:tcPr>
            <w:tcW w:w="502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造型生动，比例准确，动态协调。</w:t>
            </w:r>
          </w:p>
        </w:tc>
        <w:tc>
          <w:tcPr>
            <w:tcW w:w="851" w:type="dxa"/>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olor w:val="000000"/>
                <w:sz w:val="24"/>
              </w:rPr>
            </w:pPr>
            <w:r>
              <w:rPr>
                <w:rFonts w:ascii="Times New Roman" w:hAnsi="Times New Roman" w:eastAsia="宋体"/>
                <w:color w:val="000000"/>
                <w:sz w:val="24"/>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olor w:val="000000"/>
                <w:sz w:val="24"/>
              </w:rPr>
            </w:pPr>
            <w:r>
              <w:rPr>
                <w:rFonts w:hint="eastAsia" w:ascii="Times New Roman" w:hAnsi="Times New Roman" w:eastAsia="宋体"/>
                <w:color w:val="000000"/>
                <w:sz w:val="24"/>
              </w:rPr>
              <w:t>构图</w:t>
            </w:r>
          </w:p>
        </w:tc>
        <w:tc>
          <w:tcPr>
            <w:tcW w:w="502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构图准确，主体突出，画面丰富完整，主次关系合理。</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r>
              <w:rPr>
                <w:rFonts w:ascii="Times New Roman" w:hAnsi="Times New Roman" w:eastAsia="宋体"/>
                <w:color w:val="000000"/>
                <w:sz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olor w:val="000000"/>
                <w:sz w:val="24"/>
              </w:rPr>
            </w:pPr>
            <w:r>
              <w:rPr>
                <w:rFonts w:hint="eastAsia" w:ascii="Times New Roman" w:hAnsi="Times New Roman" w:eastAsia="宋体"/>
                <w:color w:val="000000"/>
                <w:sz w:val="24"/>
              </w:rPr>
              <w:t>色彩</w:t>
            </w:r>
          </w:p>
        </w:tc>
        <w:tc>
          <w:tcPr>
            <w:tcW w:w="50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色彩搭配和谐，层次突出，涂色丰富，技巧娴熟。</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r>
              <w:rPr>
                <w:rFonts w:ascii="Times New Roman" w:hAnsi="Times New Roman" w:eastAsia="宋体"/>
                <w:color w:val="000000"/>
                <w:sz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olor w:val="000000"/>
                <w:sz w:val="24"/>
              </w:rPr>
            </w:pPr>
            <w:r>
              <w:rPr>
                <w:rFonts w:hint="eastAsia" w:ascii="Times New Roman" w:hAnsi="Times New Roman" w:eastAsia="宋体"/>
                <w:color w:val="000000"/>
                <w:sz w:val="24"/>
              </w:rPr>
              <w:t>构思</w:t>
            </w:r>
          </w:p>
        </w:tc>
        <w:tc>
          <w:tcPr>
            <w:tcW w:w="5029"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构思巧妙，主题明确，创意新颖。</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olor w:val="000000"/>
                <w:sz w:val="24"/>
              </w:rPr>
            </w:pPr>
            <w:r>
              <w:rPr>
                <w:rFonts w:hint="eastAsia" w:ascii="Times New Roman" w:hAnsi="Times New Roman" w:eastAsia="宋体"/>
                <w:color w:val="000000"/>
                <w:sz w:val="24"/>
              </w:rPr>
              <w:t>整洁程度</w:t>
            </w:r>
          </w:p>
        </w:tc>
        <w:tc>
          <w:tcPr>
            <w:tcW w:w="50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画面非常整洁。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5</w:t>
            </w:r>
          </w:p>
        </w:tc>
      </w:tr>
    </w:tbl>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（二）</w:t>
      </w:r>
      <w:r>
        <w:rPr>
          <w:rFonts w:ascii="仿宋" w:hAnsi="仿宋" w:eastAsia="仿宋" w:cs="仿宋"/>
          <w:bCs/>
          <w:sz w:val="32"/>
          <w:szCs w:val="32"/>
        </w:rPr>
        <w:t>儿童</w:t>
      </w:r>
      <w:r>
        <w:rPr>
          <w:rFonts w:hint="eastAsia" w:ascii="仿宋" w:hAnsi="仿宋" w:eastAsia="仿宋" w:cs="仿宋"/>
          <w:bCs/>
          <w:sz w:val="32"/>
          <w:szCs w:val="32"/>
        </w:rPr>
        <w:t xml:space="preserve">歌曲弹奏 </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1.考试样题</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在规定时间内，完成儿童歌曲《粉刷匠》（G调）弹奏，</w:t>
      </w:r>
      <w:r>
        <w:rPr>
          <w:rFonts w:ascii="Times New Roman" w:hAnsi="Times New Roman" w:eastAsia="仿宋" w:cs="仿宋"/>
          <w:kern w:val="0"/>
          <w:sz w:val="32"/>
          <w:szCs w:val="32"/>
        </w:rPr>
        <w:t>能用规范的弹奏方法</w:t>
      </w:r>
      <w:r>
        <w:rPr>
          <w:rFonts w:hint="eastAsia" w:ascii="Times New Roman" w:hAnsi="Times New Roman" w:eastAsia="仿宋" w:cs="仿宋"/>
          <w:kern w:val="0"/>
          <w:sz w:val="32"/>
          <w:szCs w:val="32"/>
        </w:rPr>
        <w:t>展现</w:t>
      </w:r>
      <w:r>
        <w:rPr>
          <w:rFonts w:ascii="Times New Roman" w:hAnsi="Times New Roman" w:eastAsia="仿宋" w:cs="仿宋"/>
          <w:kern w:val="0"/>
          <w:sz w:val="32"/>
          <w:szCs w:val="32"/>
        </w:rPr>
        <w:t>歌曲中的音高、节奏等</w:t>
      </w:r>
      <w:r>
        <w:rPr>
          <w:rFonts w:hint="eastAsia" w:ascii="Times New Roman" w:hAnsi="Times New Roman" w:eastAsia="仿宋" w:cs="仿宋"/>
          <w:kern w:val="0"/>
          <w:sz w:val="32"/>
          <w:szCs w:val="32"/>
        </w:rPr>
        <w:t>音乐表现手段，</w:t>
      </w:r>
      <w:r>
        <w:rPr>
          <w:rFonts w:ascii="Times New Roman" w:hAnsi="Times New Roman" w:eastAsia="仿宋" w:cs="仿宋"/>
          <w:kern w:val="0"/>
          <w:sz w:val="32"/>
          <w:szCs w:val="32"/>
        </w:rPr>
        <w:t>运用正三和弦和恰当的伴奏音型编配儿童歌曲</w:t>
      </w: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完整、流畅、双手协调地弹奏儿童歌曲</w:t>
      </w:r>
      <w:r>
        <w:rPr>
          <w:rFonts w:hint="eastAsia" w:ascii="Times New Roman" w:hAnsi="Times New Roman" w:eastAsia="仿宋" w:cs="仿宋"/>
          <w:kern w:val="0"/>
          <w:sz w:val="32"/>
          <w:szCs w:val="32"/>
        </w:rPr>
        <w:t>。考试</w:t>
      </w:r>
      <w:r>
        <w:rPr>
          <w:rFonts w:ascii="Times New Roman" w:hAnsi="Times New Roman" w:eastAsia="仿宋" w:cs="仿宋"/>
          <w:kern w:val="0"/>
          <w:sz w:val="32"/>
          <w:szCs w:val="32"/>
        </w:rPr>
        <w:t>时间</w:t>
      </w:r>
      <w:r>
        <w:rPr>
          <w:rFonts w:hint="eastAsia" w:ascii="Times New Roman" w:hAnsi="Times New Roman" w:eastAsia="仿宋" w:cs="仿宋"/>
          <w:kern w:val="0"/>
          <w:sz w:val="32"/>
          <w:szCs w:val="32"/>
        </w:rPr>
        <w:t>25</w:t>
      </w:r>
      <w:r>
        <w:rPr>
          <w:rFonts w:ascii="Times New Roman" w:hAnsi="Times New Roman" w:eastAsia="仿宋" w:cs="仿宋"/>
          <w:kern w:val="0"/>
          <w:sz w:val="32"/>
          <w:szCs w:val="32"/>
        </w:rPr>
        <w:t>分钟</w:t>
      </w:r>
      <w:r>
        <w:rPr>
          <w:rFonts w:hint="eastAsia" w:ascii="Times New Roman" w:hAnsi="Times New Roman" w:eastAsia="仿宋" w:cs="仿宋"/>
          <w:kern w:val="0"/>
          <w:sz w:val="32"/>
          <w:szCs w:val="32"/>
        </w:rPr>
        <w:t>，总分50分。</w:t>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2.评分标准</w:t>
      </w:r>
    </w:p>
    <w:tbl>
      <w:tblPr>
        <w:tblStyle w:val="7"/>
        <w:tblW w:w="843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48"/>
        <w:gridCol w:w="552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仿宋"/>
                <w:b/>
                <w:sz w:val="24"/>
              </w:rPr>
            </w:pPr>
            <w:r>
              <w:rPr>
                <w:rFonts w:ascii="Times New Roman" w:hAnsi="Times New Roman" w:eastAsia="宋体" w:cs="仿宋"/>
                <w:b/>
                <w:sz w:val="24"/>
              </w:rPr>
              <w:t>序号</w:t>
            </w: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仿宋"/>
                <w:b/>
                <w:sz w:val="24"/>
              </w:rPr>
            </w:pPr>
            <w:r>
              <w:rPr>
                <w:rFonts w:ascii="Times New Roman" w:hAnsi="Times New Roman" w:eastAsia="宋体" w:cs="仿宋"/>
                <w:b/>
                <w:sz w:val="24"/>
              </w:rPr>
              <w:t>评分要点</w:t>
            </w:r>
          </w:p>
        </w:tc>
        <w:tc>
          <w:tcPr>
            <w:tcW w:w="55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仿宋"/>
                <w:b/>
                <w:sz w:val="24"/>
              </w:rPr>
            </w:pPr>
            <w:r>
              <w:rPr>
                <w:rFonts w:ascii="Times New Roman" w:hAnsi="Times New Roman" w:eastAsia="宋体" w:cs="仿宋"/>
                <w:b/>
                <w:sz w:val="24"/>
              </w:rPr>
              <w:t>评分依据</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仿宋"/>
                <w:b/>
                <w:sz w:val="24"/>
              </w:rPr>
            </w:pPr>
            <w:r>
              <w:rPr>
                <w:rFonts w:ascii="Times New Roman" w:hAnsi="Times New Roman" w:eastAsia="宋体" w:cs="仿宋"/>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9"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宋体"/>
                <w:color w:val="000000"/>
                <w:sz w:val="24"/>
              </w:rPr>
            </w:pPr>
            <w:r>
              <w:rPr>
                <w:rFonts w:ascii="Times New Roman" w:hAnsi="Times New Roman" w:eastAsia="宋体"/>
                <w:color w:val="000000"/>
                <w:sz w:val="24"/>
              </w:rPr>
              <w:t>1</w:t>
            </w:r>
          </w:p>
        </w:tc>
        <w:tc>
          <w:tcPr>
            <w:tcW w:w="1261"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olor w:val="000000"/>
                <w:sz w:val="24"/>
              </w:rPr>
            </w:pPr>
            <w:r>
              <w:rPr>
                <w:rFonts w:hint="eastAsia" w:ascii="Times New Roman" w:hAnsi="Times New Roman" w:eastAsia="宋体"/>
                <w:color w:val="000000"/>
                <w:sz w:val="24"/>
              </w:rPr>
              <w:t>弹奏技能</w:t>
            </w:r>
          </w:p>
        </w:tc>
        <w:tc>
          <w:tcPr>
            <w:tcW w:w="55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弹奏方法正确、姿势规范。</w:t>
            </w:r>
          </w:p>
        </w:tc>
        <w:tc>
          <w:tcPr>
            <w:tcW w:w="851" w:type="dxa"/>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29"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olor w:val="000000"/>
                <w:sz w:val="24"/>
              </w:rPr>
            </w:pPr>
          </w:p>
        </w:tc>
        <w:tc>
          <w:tcPr>
            <w:tcW w:w="1261" w:type="dxa"/>
            <w:vMerge w:val="continue"/>
            <w:tcBorders>
              <w:left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olor w:val="000000"/>
                <w:sz w:val="24"/>
              </w:rPr>
            </w:pPr>
          </w:p>
        </w:tc>
        <w:tc>
          <w:tcPr>
            <w:tcW w:w="55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指法恰当。</w:t>
            </w:r>
          </w:p>
        </w:tc>
        <w:tc>
          <w:tcPr>
            <w:tcW w:w="851" w:type="dxa"/>
            <w:tcBorders>
              <w:left w:val="single" w:color="auto" w:sz="4" w:space="0"/>
              <w:right w:val="single" w:color="auto" w:sz="4" w:space="0"/>
            </w:tcBorders>
            <w:shd w:val="clear" w:color="auto" w:fill="FFFFFF"/>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p>
        </w:tc>
        <w:tc>
          <w:tcPr>
            <w:tcW w:w="1261" w:type="dxa"/>
            <w:vMerge w:val="continue"/>
            <w:tcBorders>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olor w:val="000000"/>
                <w:sz w:val="24"/>
              </w:rPr>
            </w:pPr>
          </w:p>
        </w:tc>
        <w:tc>
          <w:tcPr>
            <w:tcW w:w="55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音准节奏准确。</w:t>
            </w:r>
          </w:p>
        </w:tc>
        <w:tc>
          <w:tcPr>
            <w:tcW w:w="851"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2</w:t>
            </w:r>
          </w:p>
        </w:tc>
        <w:tc>
          <w:tcPr>
            <w:tcW w:w="1261"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宋体"/>
                <w:color w:val="000000"/>
                <w:sz w:val="24"/>
              </w:rPr>
            </w:pPr>
            <w:r>
              <w:rPr>
                <w:rFonts w:hint="eastAsia" w:ascii="Times New Roman" w:hAnsi="Times New Roman" w:eastAsia="宋体"/>
                <w:color w:val="000000"/>
                <w:sz w:val="24"/>
              </w:rPr>
              <w:t>编配效果</w:t>
            </w:r>
          </w:p>
        </w:tc>
        <w:tc>
          <w:tcPr>
            <w:tcW w:w="55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和声配置准确。</w:t>
            </w:r>
          </w:p>
        </w:tc>
        <w:tc>
          <w:tcPr>
            <w:tcW w:w="851" w:type="dxa"/>
            <w:tcBorders>
              <w:top w:val="single" w:color="auto" w:sz="4" w:space="0"/>
              <w:left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9" w:type="dxa"/>
            <w:vMerge w:val="continue"/>
            <w:tcBorders>
              <w:left w:val="single" w:color="auto" w:sz="4" w:space="0"/>
              <w:right w:val="single" w:color="auto" w:sz="4" w:space="0"/>
            </w:tcBorders>
            <w:vAlign w:val="center"/>
          </w:tcPr>
          <w:p>
            <w:pPr>
              <w:jc w:val="center"/>
              <w:rPr>
                <w:rFonts w:ascii="Times New Roman" w:hAnsi="Times New Roman" w:eastAsia="宋体"/>
                <w:color w:val="000000"/>
                <w:sz w:val="24"/>
              </w:rPr>
            </w:pPr>
          </w:p>
        </w:tc>
        <w:tc>
          <w:tcPr>
            <w:tcW w:w="1261" w:type="dxa"/>
            <w:vMerge w:val="continue"/>
            <w:tcBorders>
              <w:left w:val="single" w:color="auto" w:sz="4" w:space="0"/>
              <w:right w:val="single" w:color="auto" w:sz="4" w:space="0"/>
            </w:tcBorders>
            <w:vAlign w:val="center"/>
          </w:tcPr>
          <w:p>
            <w:pPr>
              <w:spacing w:line="360" w:lineRule="auto"/>
              <w:jc w:val="center"/>
              <w:rPr>
                <w:rFonts w:ascii="Times New Roman" w:hAnsi="Times New Roman" w:eastAsia="宋体"/>
                <w:color w:val="000000"/>
                <w:sz w:val="24"/>
              </w:rPr>
            </w:pPr>
          </w:p>
        </w:tc>
        <w:tc>
          <w:tcPr>
            <w:tcW w:w="55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伴奏编配合理。</w:t>
            </w:r>
          </w:p>
        </w:tc>
        <w:tc>
          <w:tcPr>
            <w:tcW w:w="851" w:type="dxa"/>
            <w:tcBorders>
              <w:left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p>
        </w:tc>
        <w:tc>
          <w:tcPr>
            <w:tcW w:w="1261" w:type="dxa"/>
            <w:vMerge w:val="continue"/>
            <w:tcBorders>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olor w:val="000000"/>
                <w:sz w:val="24"/>
              </w:rPr>
            </w:pPr>
          </w:p>
        </w:tc>
        <w:tc>
          <w:tcPr>
            <w:tcW w:w="55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弹奏流畅、清晰、完整，双手配合协调统一。</w:t>
            </w:r>
          </w:p>
        </w:tc>
        <w:tc>
          <w:tcPr>
            <w:tcW w:w="851"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3</w:t>
            </w:r>
          </w:p>
        </w:tc>
        <w:tc>
          <w:tcPr>
            <w:tcW w:w="1261"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宋体"/>
                <w:color w:val="000000"/>
                <w:sz w:val="24"/>
              </w:rPr>
            </w:pPr>
            <w:r>
              <w:rPr>
                <w:rFonts w:hint="eastAsia" w:ascii="Times New Roman" w:hAnsi="Times New Roman" w:eastAsia="宋体"/>
                <w:color w:val="000000"/>
                <w:sz w:val="24"/>
              </w:rPr>
              <w:t>弹奏表现</w:t>
            </w:r>
          </w:p>
        </w:tc>
        <w:tc>
          <w:tcPr>
            <w:tcW w:w="55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凸显儿童歌曲风格。</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9" w:type="dxa"/>
            <w:vMerge w:val="continue"/>
            <w:tcBorders>
              <w:left w:val="single" w:color="auto" w:sz="4" w:space="0"/>
              <w:bottom w:val="single" w:color="auto" w:sz="4" w:space="0"/>
              <w:right w:val="single" w:color="auto" w:sz="4" w:space="0"/>
            </w:tcBorders>
            <w:vAlign w:val="center"/>
          </w:tcPr>
          <w:p>
            <w:pPr>
              <w:spacing w:line="400" w:lineRule="exact"/>
              <w:jc w:val="left"/>
              <w:rPr>
                <w:rFonts w:ascii="仿宋" w:hAnsi="仿宋" w:eastAsia="仿宋" w:cs="方正小标宋简体"/>
                <w:sz w:val="24"/>
              </w:rPr>
            </w:pPr>
          </w:p>
        </w:tc>
        <w:tc>
          <w:tcPr>
            <w:tcW w:w="1261" w:type="dxa"/>
            <w:vMerge w:val="continue"/>
            <w:tcBorders>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olor w:val="000000"/>
                <w:sz w:val="24"/>
              </w:rPr>
            </w:pPr>
          </w:p>
        </w:tc>
        <w:tc>
          <w:tcPr>
            <w:tcW w:w="55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olor w:val="000000"/>
                <w:sz w:val="24"/>
              </w:rPr>
            </w:pPr>
            <w:r>
              <w:rPr>
                <w:rFonts w:hint="eastAsia" w:ascii="Times New Roman" w:hAnsi="Times New Roman" w:eastAsia="宋体"/>
                <w:color w:val="000000"/>
                <w:sz w:val="24"/>
              </w:rPr>
              <w:t>情感丰富，表现力强，富有童趣。</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olor w:val="000000"/>
                <w:sz w:val="24"/>
              </w:rPr>
            </w:pPr>
            <w:r>
              <w:rPr>
                <w:rFonts w:hint="eastAsia" w:ascii="Times New Roman" w:hAnsi="Times New Roman" w:eastAsia="宋体"/>
                <w:color w:val="000000"/>
                <w:sz w:val="24"/>
              </w:rPr>
              <w:t>5</w:t>
            </w:r>
          </w:p>
        </w:tc>
      </w:tr>
    </w:tbl>
    <w:p>
      <w:pPr>
        <w:spacing w:line="360" w:lineRule="auto"/>
        <w:ind w:firstLine="643" w:firstLineChars="200"/>
        <w:rPr>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086949"/>
    </w:sdtPr>
    <w:sdtEndPr>
      <w:rPr>
        <w:rFonts w:ascii="Times New Roman" w:hAnsi="Times New Roman" w:cs="Times New Roman"/>
      </w:rPr>
    </w:sdtEndPr>
    <w:sdtContent>
      <w:sdt>
        <w:sdtPr>
          <w:id w:val="1728636285"/>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sz w:val="24"/>
                <w:szCs w:val="24"/>
              </w:rPr>
              <w:fldChar w:fldCharType="begin"/>
            </w:r>
            <w:r>
              <w:rPr>
                <w:rFonts w:ascii="Times New Roman" w:hAnsi="Times New Roman" w:cs="Times New Roman"/>
              </w:rPr>
              <w:instrText xml:space="preserve">PAGE</w:instrText>
            </w:r>
            <w:r>
              <w:rPr>
                <w:rFonts w:ascii="Times New Roman" w:hAnsi="Times New Roman" w:cs="Times New Roman"/>
                <w:sz w:val="24"/>
                <w:szCs w:val="24"/>
              </w:rPr>
              <w:fldChar w:fldCharType="separate"/>
            </w:r>
            <w:r>
              <w:rPr>
                <w:rFonts w:ascii="Times New Roman" w:hAnsi="Times New Roman" w:cs="Times New Roman"/>
              </w:rPr>
              <w:t>1</w:t>
            </w:r>
            <w:r>
              <w:rPr>
                <w:rFonts w:ascii="Times New Roman" w:hAnsi="Times New Roman" w:cs="Times New Roman"/>
                <w:sz w:val="24"/>
                <w:szCs w:val="24"/>
              </w:rPr>
              <w:fldChar w:fldCharType="end"/>
            </w:r>
            <w:r>
              <w:rPr>
                <w:rFonts w:ascii="Times New Roman" w:hAnsi="Times New Roman" w:cs="Times New Roman"/>
                <w:lang w:val="zh-CN"/>
              </w:rPr>
              <w:t xml:space="preserve"> / </w:t>
            </w:r>
            <w:r>
              <w:rPr>
                <w:rFonts w:ascii="Times New Roman" w:hAnsi="Times New Roman" w:cs="Times New Roman"/>
                <w:sz w:val="24"/>
                <w:szCs w:val="24"/>
              </w:rPr>
              <w:fldChar w:fldCharType="begin"/>
            </w:r>
            <w:r>
              <w:rPr>
                <w:rFonts w:ascii="Times New Roman" w:hAnsi="Times New Roman" w:cs="Times New Roman"/>
              </w:rPr>
              <w:instrText xml:space="preserve">NUMPAGES</w:instrText>
            </w:r>
            <w:r>
              <w:rPr>
                <w:rFonts w:ascii="Times New Roman" w:hAnsi="Times New Roman" w:cs="Times New Roman"/>
                <w:sz w:val="24"/>
                <w:szCs w:val="24"/>
              </w:rPr>
              <w:fldChar w:fldCharType="separate"/>
            </w:r>
            <w:r>
              <w:rPr>
                <w:rFonts w:ascii="Times New Roman" w:hAnsi="Times New Roman" w:cs="Times New Roman"/>
              </w:rPr>
              <w:t>5</w:t>
            </w:r>
            <w:r>
              <w:rPr>
                <w:rFonts w:ascii="Times New Roman" w:hAnsi="Times New Roman" w:cs="Times New Roman"/>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64"/>
    <w:rsid w:val="0000282E"/>
    <w:rsid w:val="0001418B"/>
    <w:rsid w:val="00017A86"/>
    <w:rsid w:val="00031B75"/>
    <w:rsid w:val="00056DB1"/>
    <w:rsid w:val="00067A89"/>
    <w:rsid w:val="0007659B"/>
    <w:rsid w:val="0008692D"/>
    <w:rsid w:val="000B5A40"/>
    <w:rsid w:val="000D13F9"/>
    <w:rsid w:val="000D224C"/>
    <w:rsid w:val="000D368E"/>
    <w:rsid w:val="000E72BB"/>
    <w:rsid w:val="000F254D"/>
    <w:rsid w:val="00103B6D"/>
    <w:rsid w:val="00104EBD"/>
    <w:rsid w:val="00105DBF"/>
    <w:rsid w:val="001179C9"/>
    <w:rsid w:val="00122EFF"/>
    <w:rsid w:val="00126BF8"/>
    <w:rsid w:val="0013640D"/>
    <w:rsid w:val="00163979"/>
    <w:rsid w:val="00166BF2"/>
    <w:rsid w:val="00194F26"/>
    <w:rsid w:val="001A272C"/>
    <w:rsid w:val="001A33EF"/>
    <w:rsid w:val="001A7001"/>
    <w:rsid w:val="001C0040"/>
    <w:rsid w:val="001C5BB3"/>
    <w:rsid w:val="001D090E"/>
    <w:rsid w:val="001D22E9"/>
    <w:rsid w:val="001E2130"/>
    <w:rsid w:val="001E47C0"/>
    <w:rsid w:val="00212768"/>
    <w:rsid w:val="00212BC6"/>
    <w:rsid w:val="00240964"/>
    <w:rsid w:val="00242CE3"/>
    <w:rsid w:val="00243653"/>
    <w:rsid w:val="00256907"/>
    <w:rsid w:val="002627CD"/>
    <w:rsid w:val="002764CB"/>
    <w:rsid w:val="002B017C"/>
    <w:rsid w:val="002C245D"/>
    <w:rsid w:val="002C459E"/>
    <w:rsid w:val="002D00F8"/>
    <w:rsid w:val="002D3525"/>
    <w:rsid w:val="002F0BA1"/>
    <w:rsid w:val="0030306A"/>
    <w:rsid w:val="00303269"/>
    <w:rsid w:val="003040B8"/>
    <w:rsid w:val="00310A08"/>
    <w:rsid w:val="0031111A"/>
    <w:rsid w:val="00326713"/>
    <w:rsid w:val="003403E8"/>
    <w:rsid w:val="00365EE8"/>
    <w:rsid w:val="00391D21"/>
    <w:rsid w:val="003A2B97"/>
    <w:rsid w:val="003B422A"/>
    <w:rsid w:val="003B53A9"/>
    <w:rsid w:val="003B6C4D"/>
    <w:rsid w:val="003C0429"/>
    <w:rsid w:val="003C2487"/>
    <w:rsid w:val="003D39CB"/>
    <w:rsid w:val="003E1669"/>
    <w:rsid w:val="003E7669"/>
    <w:rsid w:val="00413B36"/>
    <w:rsid w:val="00415F7E"/>
    <w:rsid w:val="00425EE7"/>
    <w:rsid w:val="004471C4"/>
    <w:rsid w:val="00452AC2"/>
    <w:rsid w:val="00454BB1"/>
    <w:rsid w:val="004654C7"/>
    <w:rsid w:val="004722AA"/>
    <w:rsid w:val="004859ED"/>
    <w:rsid w:val="00487A9E"/>
    <w:rsid w:val="004B6786"/>
    <w:rsid w:val="004B6D78"/>
    <w:rsid w:val="004D2A16"/>
    <w:rsid w:val="004D46F6"/>
    <w:rsid w:val="004F1A9C"/>
    <w:rsid w:val="004F221D"/>
    <w:rsid w:val="004F3CF9"/>
    <w:rsid w:val="005048EE"/>
    <w:rsid w:val="0050517D"/>
    <w:rsid w:val="00512CD6"/>
    <w:rsid w:val="00537299"/>
    <w:rsid w:val="0054187D"/>
    <w:rsid w:val="00546386"/>
    <w:rsid w:val="0057185A"/>
    <w:rsid w:val="00583D38"/>
    <w:rsid w:val="005864E1"/>
    <w:rsid w:val="005A2040"/>
    <w:rsid w:val="005A6171"/>
    <w:rsid w:val="005B1313"/>
    <w:rsid w:val="005E4EF9"/>
    <w:rsid w:val="005E5D74"/>
    <w:rsid w:val="005F2161"/>
    <w:rsid w:val="0060121F"/>
    <w:rsid w:val="0062619E"/>
    <w:rsid w:val="0063064F"/>
    <w:rsid w:val="006357CA"/>
    <w:rsid w:val="00641185"/>
    <w:rsid w:val="006437BB"/>
    <w:rsid w:val="006445AA"/>
    <w:rsid w:val="0065303C"/>
    <w:rsid w:val="00660AF6"/>
    <w:rsid w:val="0068382F"/>
    <w:rsid w:val="006853D9"/>
    <w:rsid w:val="00687503"/>
    <w:rsid w:val="006A09A9"/>
    <w:rsid w:val="006C2CE6"/>
    <w:rsid w:val="006E26DC"/>
    <w:rsid w:val="007117A2"/>
    <w:rsid w:val="007200C9"/>
    <w:rsid w:val="00722473"/>
    <w:rsid w:val="007276C9"/>
    <w:rsid w:val="007339D6"/>
    <w:rsid w:val="00734742"/>
    <w:rsid w:val="0075576D"/>
    <w:rsid w:val="007614EC"/>
    <w:rsid w:val="007A7E06"/>
    <w:rsid w:val="007C4315"/>
    <w:rsid w:val="007D5E47"/>
    <w:rsid w:val="007F4484"/>
    <w:rsid w:val="007F4E08"/>
    <w:rsid w:val="007F70A8"/>
    <w:rsid w:val="00822114"/>
    <w:rsid w:val="00836E54"/>
    <w:rsid w:val="00877447"/>
    <w:rsid w:val="008A1CC5"/>
    <w:rsid w:val="008B7BC5"/>
    <w:rsid w:val="008C46D1"/>
    <w:rsid w:val="008C5C81"/>
    <w:rsid w:val="008D52FD"/>
    <w:rsid w:val="008E7C6D"/>
    <w:rsid w:val="008F6380"/>
    <w:rsid w:val="009127FB"/>
    <w:rsid w:val="00934E9D"/>
    <w:rsid w:val="00935051"/>
    <w:rsid w:val="00936069"/>
    <w:rsid w:val="009444FB"/>
    <w:rsid w:val="00962EAF"/>
    <w:rsid w:val="00974B36"/>
    <w:rsid w:val="00981B35"/>
    <w:rsid w:val="00990681"/>
    <w:rsid w:val="00991A25"/>
    <w:rsid w:val="00996C3D"/>
    <w:rsid w:val="009B1231"/>
    <w:rsid w:val="009B2CCA"/>
    <w:rsid w:val="009C1CCD"/>
    <w:rsid w:val="009C44E1"/>
    <w:rsid w:val="009D0C02"/>
    <w:rsid w:val="009E27A9"/>
    <w:rsid w:val="009F1FFA"/>
    <w:rsid w:val="009F40F7"/>
    <w:rsid w:val="009F5148"/>
    <w:rsid w:val="00A042CD"/>
    <w:rsid w:val="00A10ED2"/>
    <w:rsid w:val="00A2458A"/>
    <w:rsid w:val="00A32CBF"/>
    <w:rsid w:val="00A651DB"/>
    <w:rsid w:val="00A760D1"/>
    <w:rsid w:val="00A8348E"/>
    <w:rsid w:val="00A87337"/>
    <w:rsid w:val="00AA79B2"/>
    <w:rsid w:val="00AD3447"/>
    <w:rsid w:val="00AE0BA9"/>
    <w:rsid w:val="00B0109B"/>
    <w:rsid w:val="00B152B5"/>
    <w:rsid w:val="00B743BD"/>
    <w:rsid w:val="00B763B0"/>
    <w:rsid w:val="00B835C6"/>
    <w:rsid w:val="00B849E7"/>
    <w:rsid w:val="00B85AA7"/>
    <w:rsid w:val="00B929AF"/>
    <w:rsid w:val="00BA0FB1"/>
    <w:rsid w:val="00BD17F1"/>
    <w:rsid w:val="00BD4C1C"/>
    <w:rsid w:val="00BE1E01"/>
    <w:rsid w:val="00BE1EBC"/>
    <w:rsid w:val="00C0672D"/>
    <w:rsid w:val="00C26750"/>
    <w:rsid w:val="00C305EB"/>
    <w:rsid w:val="00C6223D"/>
    <w:rsid w:val="00C82BB4"/>
    <w:rsid w:val="00CA7895"/>
    <w:rsid w:val="00CC4D02"/>
    <w:rsid w:val="00CE2144"/>
    <w:rsid w:val="00CE2681"/>
    <w:rsid w:val="00CF5A69"/>
    <w:rsid w:val="00CF65C2"/>
    <w:rsid w:val="00D03176"/>
    <w:rsid w:val="00D04EB7"/>
    <w:rsid w:val="00D05133"/>
    <w:rsid w:val="00D1552E"/>
    <w:rsid w:val="00D234D7"/>
    <w:rsid w:val="00D30C44"/>
    <w:rsid w:val="00D37BC7"/>
    <w:rsid w:val="00D61FE7"/>
    <w:rsid w:val="00D66359"/>
    <w:rsid w:val="00D71D18"/>
    <w:rsid w:val="00D7262C"/>
    <w:rsid w:val="00D96DFA"/>
    <w:rsid w:val="00DA1A71"/>
    <w:rsid w:val="00DA7F8D"/>
    <w:rsid w:val="00DD1161"/>
    <w:rsid w:val="00DE15E7"/>
    <w:rsid w:val="00DE28B4"/>
    <w:rsid w:val="00DE6C2C"/>
    <w:rsid w:val="00DF7F05"/>
    <w:rsid w:val="00E11A37"/>
    <w:rsid w:val="00E14E69"/>
    <w:rsid w:val="00E31B38"/>
    <w:rsid w:val="00E623D6"/>
    <w:rsid w:val="00E67C64"/>
    <w:rsid w:val="00E82B70"/>
    <w:rsid w:val="00EA2B84"/>
    <w:rsid w:val="00ED0394"/>
    <w:rsid w:val="00EF147D"/>
    <w:rsid w:val="00F07B39"/>
    <w:rsid w:val="00F1473B"/>
    <w:rsid w:val="00F225F7"/>
    <w:rsid w:val="00F34821"/>
    <w:rsid w:val="00F34B36"/>
    <w:rsid w:val="00F37BF2"/>
    <w:rsid w:val="00F56ACB"/>
    <w:rsid w:val="00F57ABC"/>
    <w:rsid w:val="00F61B1A"/>
    <w:rsid w:val="00F63C97"/>
    <w:rsid w:val="00F66500"/>
    <w:rsid w:val="00F73453"/>
    <w:rsid w:val="00F746E4"/>
    <w:rsid w:val="00F77DD4"/>
    <w:rsid w:val="00F941E6"/>
    <w:rsid w:val="00FA67B9"/>
    <w:rsid w:val="00FB52C7"/>
    <w:rsid w:val="00FC5EBF"/>
    <w:rsid w:val="00FD603F"/>
    <w:rsid w:val="00FE4BCB"/>
    <w:rsid w:val="00FF2C04"/>
    <w:rsid w:val="03ED5F20"/>
    <w:rsid w:val="045E2039"/>
    <w:rsid w:val="0BF504D8"/>
    <w:rsid w:val="0EAC6B05"/>
    <w:rsid w:val="1D474FC7"/>
    <w:rsid w:val="213847ED"/>
    <w:rsid w:val="22172392"/>
    <w:rsid w:val="26DA7E84"/>
    <w:rsid w:val="411A5840"/>
    <w:rsid w:val="45802DDE"/>
    <w:rsid w:val="459B4EBC"/>
    <w:rsid w:val="4C783032"/>
    <w:rsid w:val="5440179A"/>
    <w:rsid w:val="57327471"/>
    <w:rsid w:val="5CCB690A"/>
    <w:rsid w:val="5E0E28F1"/>
    <w:rsid w:val="5F760169"/>
    <w:rsid w:val="66DD40B7"/>
    <w:rsid w:val="6BE32DCF"/>
    <w:rsid w:val="7A2D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line="360" w:lineRule="auto"/>
      <w:jc w:val="left"/>
    </w:pPr>
    <w:rPr>
      <w:rFonts w:cs="Times New Roman"/>
      <w:kern w:val="0"/>
      <w:sz w:val="24"/>
    </w:rPr>
  </w:style>
  <w:style w:type="table" w:styleId="8">
    <w:name w:val="Table Grid"/>
    <w:basedOn w:val="7"/>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customStyle="1" w:styleId="11">
    <w:name w:val="页脚1"/>
    <w:basedOn w:val="1"/>
    <w:next w:val="4"/>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character" w:customStyle="1" w:styleId="12">
    <w:name w:val="页脚 Char"/>
    <w:basedOn w:val="9"/>
    <w:link w:val="11"/>
    <w:qFormat/>
    <w:uiPriority w:val="99"/>
    <w:rPr>
      <w:rFonts w:ascii="Calibri" w:hAnsi="Calibri" w:eastAsia="宋体" w:cs="Times New Roman"/>
      <w:kern w:val="2"/>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页眉 字符"/>
    <w:basedOn w:val="9"/>
    <w:link w:val="5"/>
    <w:qFormat/>
    <w:uiPriority w:val="99"/>
    <w:rPr>
      <w:sz w:val="18"/>
      <w:szCs w:val="18"/>
    </w:rPr>
  </w:style>
  <w:style w:type="table" w:customStyle="1" w:styleId="16">
    <w:name w:val="网格型1"/>
    <w:basedOn w:val="7"/>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框文本 字符"/>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9CF7C-C6E0-40C8-807F-DCC6A93B0FC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250</Words>
  <Characters>1426</Characters>
  <Lines>11</Lines>
  <Paragraphs>3</Paragraphs>
  <TotalTime>0</TotalTime>
  <ScaleCrop>false</ScaleCrop>
  <LinksUpToDate>false</LinksUpToDate>
  <CharactersWithSpaces>1673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2020-07-31T01:57:00Z</dcterms:created>
  <dc:creator>dell</dc:creator>
  <cp:lastModifiedBy>不辣的皮皮特</cp:lastModifiedBy>
  <cp:lastPrinted>2020-04-20T07:28:00Z</cp:lastPrinted>
  <dcterms:modified xsi:type="dcterms:W3CDTF">2021-09-09T07:16:23Z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E37D0F3CF0F44387B97D19DD15870A3E</vt:lpwstr>
  </property>
</Properties>
</file>