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50EA" w14:textId="77777777" w:rsidR="00A8053A" w:rsidRDefault="00AA6247">
      <w:pPr>
        <w:spacing w:line="66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首都师范大学附属昌财实验</w:t>
      </w:r>
      <w:r>
        <w:rPr>
          <w:rStyle w:val="a7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中学</w:t>
      </w:r>
    </w:p>
    <w:p w14:paraId="0D3DFE26" w14:textId="77777777" w:rsidR="00A8053A" w:rsidRDefault="00AA6247">
      <w:pPr>
        <w:spacing w:line="66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</w:t>
      </w:r>
      <w:r>
        <w:rPr>
          <w:rStyle w:val="a7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22</w:t>
      </w:r>
      <w:r>
        <w:rPr>
          <w:rStyle w:val="a7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年学科类自主招生方案</w:t>
      </w:r>
    </w:p>
    <w:p w14:paraId="1E4BA2D1" w14:textId="77777777" w:rsidR="00A8053A" w:rsidRDefault="00A8053A">
      <w:pPr>
        <w:ind w:firstLineChars="200" w:firstLine="618"/>
        <w:rPr>
          <w:rFonts w:ascii="宋体" w:eastAsia="宋体" w:hAnsi="宋体" w:cs="宋体"/>
          <w:b/>
          <w:bCs/>
          <w:spacing w:val="-6"/>
          <w:kern w:val="0"/>
          <w:sz w:val="32"/>
          <w:szCs w:val="32"/>
          <w:shd w:val="clear" w:color="auto" w:fill="FFFFFF"/>
          <w:lang w:bidi="ar"/>
        </w:rPr>
      </w:pPr>
    </w:p>
    <w:p w14:paraId="56B1E971" w14:textId="77777777" w:rsidR="00A8053A" w:rsidRDefault="00AA6247">
      <w:pPr>
        <w:widowControl/>
        <w:shd w:val="clear" w:color="auto" w:fill="FFFFFF"/>
        <w:spacing w:line="580" w:lineRule="exact"/>
        <w:ind w:firstLineChars="200" w:firstLine="616"/>
        <w:textAlignment w:val="baseline"/>
        <w:rPr>
          <w:rFonts w:ascii="仿宋_GB2312" w:eastAsia="仿宋_GB2312" w:hAnsi="宋体" w:cs="仿宋_GB2312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首都师范大学附属昌财实验中学是在南安市人民政府主导下，由厦门源昌集团出资捐建，并与首都师范大学合作办学的公办完全中学。学校位于南安市罗东镇银河新城，毗邻甬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莞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高速梅山（罗东）出口，学校按省一级达标校规划建设，软硬件设施一流，校园环境优美、充满现代气息。学校被授予基础教育国家级优秀教学成果推广应用示范区“普通高中育人模式创新与学校转型”试点校、“绿色评价指标”试点校，同时被授予普通高中新课程新教材实施省级示范区“项目领衔示范校”。</w:t>
      </w:r>
    </w:p>
    <w:p w14:paraId="025572C4" w14:textId="77777777" w:rsidR="00A8053A" w:rsidRDefault="00AA6247">
      <w:pPr>
        <w:widowControl/>
        <w:shd w:val="clear" w:color="auto" w:fill="FFFFFF"/>
        <w:spacing w:line="580" w:lineRule="exact"/>
        <w:ind w:firstLineChars="200" w:firstLine="616"/>
        <w:textAlignment w:val="baseline"/>
        <w:rPr>
          <w:rFonts w:ascii="仿宋_GB2312" w:eastAsia="仿宋_GB2312" w:hAnsi="宋体" w:cs="仿宋_GB2312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为了招收具有学科特长、创新意识的学生，推动学校多样化特色化发展，满足不同潜质学生的发展需要。根据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《南安市招生考试委员会关于做好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年普通高中学科类自主招生工作的通知》（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南招考委〔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精神，特制定首都师范大学附昌财实验中学</w:t>
      </w:r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年学科类自主招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生方案。</w:t>
      </w:r>
    </w:p>
    <w:p w14:paraId="23206D19" w14:textId="77777777" w:rsidR="00A8053A" w:rsidRDefault="00AA6247">
      <w:pPr>
        <w:shd w:val="clear" w:color="auto" w:fill="FFFFFF"/>
        <w:spacing w:line="580" w:lineRule="exact"/>
        <w:ind w:firstLineChars="196" w:firstLine="627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招生名额</w:t>
      </w:r>
    </w:p>
    <w:p w14:paraId="2E060BC9" w14:textId="77777777" w:rsidR="00A8053A" w:rsidRDefault="00AA6247">
      <w:pPr>
        <w:widowControl/>
        <w:shd w:val="clear" w:color="auto" w:fill="FFFFFF"/>
        <w:spacing w:line="580" w:lineRule="exact"/>
        <w:ind w:firstLineChars="200" w:firstLine="616"/>
        <w:textAlignment w:val="baseline"/>
        <w:rPr>
          <w:rFonts w:ascii="仿宋_GB2312" w:eastAsia="仿宋_GB2312" w:hAnsi="宋体" w:cs="仿宋_GB2312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年我校普通高中面向南安市学科类自主招生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名，按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1.2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的比例确定入围预录取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36</w:t>
      </w:r>
      <w:r>
        <w:rPr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  <w:lang w:bidi="ar"/>
        </w:rPr>
        <w:t>人。</w:t>
      </w:r>
    </w:p>
    <w:p w14:paraId="38FEF53D" w14:textId="77777777" w:rsidR="00A8053A" w:rsidRDefault="00AA6247">
      <w:pPr>
        <w:shd w:val="clear" w:color="auto" w:fill="FFFFFF"/>
        <w:spacing w:line="580" w:lineRule="exact"/>
        <w:ind w:firstLineChars="196" w:firstLine="627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二、招生对象</w:t>
      </w:r>
    </w:p>
    <w:p w14:paraId="2812E91F" w14:textId="77777777" w:rsidR="00A8053A" w:rsidRDefault="00AA6247">
      <w:pPr>
        <w:shd w:val="clear" w:color="auto" w:fill="FFFFFF"/>
        <w:spacing w:line="580" w:lineRule="exact"/>
        <w:ind w:firstLineChars="196" w:firstLine="627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具有南安市学籍的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年应届初中毕业生，中考理化生实验考查合格，毕业生综合素质评定须合格以上（含合格）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，且根据《南安市招生考试委员会关于做好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年普通高中学科类自主招生工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作的通知》文件要求，符合南安市学科类自主招生推荐资格的学生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861A6F" w14:textId="77777777" w:rsidR="00A8053A" w:rsidRDefault="00AA6247">
      <w:pPr>
        <w:shd w:val="clear" w:color="auto" w:fill="FFFFFF"/>
        <w:spacing w:line="580" w:lineRule="exact"/>
        <w:ind w:firstLineChars="196" w:firstLine="627"/>
        <w:textAlignment w:val="baseline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培养</w:t>
      </w:r>
      <w:r>
        <w:rPr>
          <w:rFonts w:ascii="黑体" w:eastAsia="黑体" w:hAnsi="宋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目标与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方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式</w:t>
      </w:r>
    </w:p>
    <w:p w14:paraId="4BB0FBCD" w14:textId="77777777" w:rsidR="00A8053A" w:rsidRDefault="00AA6247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自主招生录取的学生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全部编入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“昌财班”。</w:t>
      </w:r>
    </w:p>
    <w:p w14:paraId="5FB8BB77" w14:textId="77777777" w:rsidR="00A8053A" w:rsidRDefault="00AA6247"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/>
        <w:jc w:val="left"/>
        <w:rPr>
          <w:rFonts w:ascii="方正楷体简体" w:eastAsia="方正楷体简体" w:hAnsi="方正楷体简体" w:cs="方正楷体简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“昌财班”培养目标</w:t>
      </w:r>
    </w:p>
    <w:p w14:paraId="4CFCB5D2" w14:textId="77777777" w:rsidR="00A8053A" w:rsidRDefault="00AA6247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Segoe UI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“昌财班”的</w:t>
      </w:r>
      <w:r>
        <w:rPr>
          <w:rFonts w:ascii="仿宋_GB2312" w:eastAsia="仿宋_GB2312" w:hAnsi="Segoe UI" w:cs="仿宋_GB2312" w:hint="eastAsia"/>
          <w:kern w:val="0"/>
          <w:sz w:val="32"/>
          <w:szCs w:val="32"/>
          <w:shd w:val="clear" w:color="auto" w:fill="FFFFFF"/>
          <w:lang w:bidi="ar"/>
        </w:rPr>
        <w:t>培养目标是高考</w:t>
      </w:r>
      <w:r>
        <w:rPr>
          <w:rFonts w:ascii="仿宋_GB2312" w:eastAsia="仿宋_GB2312" w:hAnsi="Segoe UI" w:cs="仿宋_GB2312" w:hint="eastAsia"/>
          <w:kern w:val="0"/>
          <w:sz w:val="32"/>
          <w:szCs w:val="32"/>
          <w:shd w:val="clear" w:color="auto" w:fill="FFFFFF"/>
          <w:lang w:bidi="ar"/>
        </w:rPr>
        <w:t>100%</w:t>
      </w:r>
      <w:r>
        <w:rPr>
          <w:rFonts w:ascii="仿宋_GB2312" w:eastAsia="仿宋_GB2312" w:hAnsi="Segoe UI" w:cs="仿宋_GB2312" w:hint="eastAsia"/>
          <w:kern w:val="0"/>
          <w:sz w:val="32"/>
          <w:szCs w:val="32"/>
          <w:shd w:val="clear" w:color="auto" w:fill="FFFFFF"/>
          <w:lang w:bidi="ar"/>
        </w:rPr>
        <w:t>上特殊类型招生控制线，且绝大多数考入</w:t>
      </w:r>
      <w:proofErr w:type="gramStart"/>
      <w:r>
        <w:rPr>
          <w:rFonts w:ascii="仿宋_GB2312" w:eastAsia="仿宋_GB2312" w:hAnsi="Segoe UI" w:cs="仿宋_GB2312" w:hint="eastAsia"/>
          <w:kern w:val="0"/>
          <w:sz w:val="32"/>
          <w:szCs w:val="32"/>
          <w:shd w:val="clear" w:color="auto" w:fill="FFFFFF"/>
          <w:lang w:bidi="ar"/>
        </w:rPr>
        <w:t>国家双一流等</w:t>
      </w:r>
      <w:proofErr w:type="gramEnd"/>
      <w:r>
        <w:rPr>
          <w:rFonts w:ascii="仿宋_GB2312" w:eastAsia="仿宋_GB2312" w:hAnsi="Segoe UI" w:cs="仿宋_GB2312" w:hint="eastAsia"/>
          <w:kern w:val="0"/>
          <w:sz w:val="32"/>
          <w:szCs w:val="32"/>
          <w:shd w:val="clear" w:color="auto" w:fill="FFFFFF"/>
          <w:lang w:bidi="ar"/>
        </w:rPr>
        <w:t>名校。</w:t>
      </w:r>
    </w:p>
    <w:p w14:paraId="15D82138" w14:textId="77777777" w:rsidR="00A8053A" w:rsidRDefault="00AA6247">
      <w:pPr>
        <w:spacing w:line="580" w:lineRule="exact"/>
        <w:ind w:firstLineChars="200" w:firstLine="640"/>
        <w:rPr>
          <w:rFonts w:ascii="方正楷体简体" w:eastAsia="方正楷体简体" w:hAnsi="方正楷体简体" w:cs="方正楷体简体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简体" w:eastAsia="方正楷体简体" w:hAnsi="方正楷体简体" w:cs="方正楷体简体" w:hint="eastAsia"/>
          <w:b/>
          <w:bCs/>
          <w:kern w:val="0"/>
          <w:sz w:val="32"/>
          <w:szCs w:val="32"/>
          <w:shd w:val="clear" w:color="auto" w:fill="FFFFFF"/>
          <w:lang w:bidi="ar"/>
        </w:rPr>
        <w:t>（二）“昌财班”培养方式</w:t>
      </w:r>
    </w:p>
    <w:p w14:paraId="1F7F1259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一流师资。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“昌财班”师资大多数为研究生学历以上教师，并配置特级教师、省市名师、学科带头人等。</w:t>
      </w:r>
    </w:p>
    <w:p w14:paraId="68EFB23A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专家引领。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首都师范大学组建专家团队，对教育教学进行顶层设计，提供优质资源、特色课程和专业支持。实行导师制，专家担任导师，为每位学生个性化设计培养方案，一对一进行学业规划指导。</w:t>
      </w:r>
    </w:p>
    <w:p w14:paraId="4E95495D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小班教学。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实行小班化精英教学。</w:t>
      </w:r>
    </w:p>
    <w:p w14:paraId="502C5D02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4.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培优拔尖。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北京、省内优质名师辅导，组织开展培优拔尖专</w:t>
      </w:r>
      <w:proofErr w:type="gramStart"/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项培训</w:t>
      </w:r>
      <w:proofErr w:type="gramEnd"/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等工作，满足具有学科特长、创新潜质学生的发展需求。</w:t>
      </w:r>
    </w:p>
    <w:p w14:paraId="50F908F7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5.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赴京</w:t>
      </w:r>
      <w:proofErr w:type="gramStart"/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研</w:t>
      </w:r>
      <w:proofErr w:type="gramEnd"/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学。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“昌财班”学生可免费赴北京名校集训、学习深造。同时，将实地</w:t>
      </w:r>
      <w:proofErr w:type="gramStart"/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研</w:t>
      </w:r>
      <w:proofErr w:type="gramEnd"/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学北京的名胜古迹等，感受和体验中华优秀传统文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化。赴京</w:t>
      </w:r>
      <w:proofErr w:type="gramStart"/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研</w:t>
      </w:r>
      <w:proofErr w:type="gramEnd"/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学费用由厦门源昌集团资助。</w:t>
      </w:r>
    </w:p>
    <w:p w14:paraId="7CD9D381" w14:textId="77777777" w:rsidR="00A8053A" w:rsidRDefault="00AA6247">
      <w:pPr>
        <w:widowControl/>
        <w:shd w:val="clear" w:color="auto" w:fill="FFFFFF"/>
        <w:spacing w:line="580" w:lineRule="exact"/>
        <w:ind w:firstLineChars="200" w:firstLine="640"/>
        <w:jc w:val="left"/>
        <w:textAlignment w:val="baseline"/>
        <w:rPr>
          <w:rFonts w:ascii="方正楷体简体" w:eastAsia="方正楷体简体" w:hAnsi="方正楷体简体" w:cs="方正楷体简体"/>
          <w:b/>
          <w:bCs/>
          <w:color w:val="000000" w:themeColor="text1"/>
          <w:sz w:val="19"/>
          <w:szCs w:val="19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（三）“昌财班”优厚待遇</w:t>
      </w:r>
    </w:p>
    <w:p w14:paraId="4B93EBA8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慈善奖学。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厦门源昌集团慈善捐赠，设立资优励志、学费全免、生活补助、特别奖励、专项奖学等多项高额度的奖学助学金。</w:t>
      </w:r>
    </w:p>
    <w:p w14:paraId="04C4662D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惠民助学。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入学后经申请可享受普通高中国家助学金等。</w:t>
      </w:r>
    </w:p>
    <w:p w14:paraId="7D906D2A" w14:textId="77777777" w:rsidR="00A8053A" w:rsidRDefault="00AA6247">
      <w:pPr>
        <w:spacing w:line="580" w:lineRule="exact"/>
        <w:ind w:firstLineChars="200" w:firstLine="640"/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ascii="仿宋_GB2312" w:eastAsia="仿宋_GB2312" w:hAnsi="Segoe UI" w:cs="仿宋_GB2312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生活住宿。</w:t>
      </w:r>
      <w:r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t>学校为需寄宿的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“昌财</w:t>
      </w:r>
      <w:r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t>班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”学生提供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人间的</w:t>
      </w:r>
      <w:r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t>寝</w:t>
      </w:r>
      <w:r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lastRenderedPageBreak/>
        <w:t>室，配有卫生间、空调、</w:t>
      </w:r>
      <w:r>
        <w:rPr>
          <w:rFonts w:ascii="仿宋_GB2312" w:eastAsia="仿宋_GB2312" w:hAnsi="Segoe UI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热水器、</w:t>
      </w:r>
      <w:r>
        <w:rPr>
          <w:rFonts w:ascii="仿宋_GB2312" w:eastAsia="仿宋_GB2312" w:hAnsi="Segoe UI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  <w:t>书桌等。</w:t>
      </w:r>
    </w:p>
    <w:p w14:paraId="28B8D387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黑体" w:eastAsia="黑体" w:hAnsi="宋体" w:cs="黑体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四、入围预录取遴选方式</w:t>
      </w:r>
    </w:p>
    <w:p w14:paraId="5597B1D7" w14:textId="77777777" w:rsidR="00A8053A" w:rsidRDefault="00AA6247">
      <w:pPr>
        <w:adjustRightInd w:val="0"/>
        <w:snapToGrid w:val="0"/>
        <w:spacing w:line="58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采用“学生志愿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+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学校推荐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+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综合测试”的办法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组织符合条件的考生报名参加考试，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通过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确定入围预录取的考生名单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。各初中校、完中校初中部负责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招生工作的宣传，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按市教育局规定时间要求组织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符合条件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学生报名并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填报志愿，做好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资格审查、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公示等相关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；我校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综合测试、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入围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预录取公示等相关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；市教育局负责招生工作的指导和监督工作。</w:t>
      </w:r>
    </w:p>
    <w:p w14:paraId="378E701B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宋体" w:eastAsia="宋体" w:hAnsi="宋体" w:cs="宋体"/>
          <w:strike/>
          <w:color w:val="000000" w:themeColor="text1"/>
          <w:sz w:val="18"/>
          <w:szCs w:val="18"/>
        </w:rPr>
      </w:pP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五、</w:t>
      </w: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报名条件及方式</w:t>
      </w:r>
    </w:p>
    <w:p w14:paraId="6E6F7DF8" w14:textId="77777777" w:rsidR="00A8053A" w:rsidRDefault="00AA6247">
      <w:pPr>
        <w:pStyle w:val="a6"/>
        <w:snapToGrid w:val="0"/>
        <w:spacing w:beforeAutospacing="0" w:afterAutospacing="0" w:line="580" w:lineRule="exact"/>
        <w:ind w:firstLineChars="177" w:firstLine="566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根据南招考委文件要求，符合南安市自主招生推荐资格的学生向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所在初中学校报名。所在初中阶段学校组织资格审查并公示无异议后，按市教育局下达的推荐指标名额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、在规定时间（报名截止时间：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日）内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报市教育局审核。</w:t>
      </w:r>
    </w:p>
    <w:p w14:paraId="46407BD8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000000"/>
          <w:sz w:val="32"/>
          <w:szCs w:val="32"/>
        </w:rPr>
        <w:t>报名参加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我校学科类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自主招生的学生，需在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6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月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12-18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登录泉州市中考中招信息管理系统（网址：</w:t>
      </w:r>
      <w:hyperlink r:id="rId8" w:history="1">
        <w:r>
          <w:rPr>
            <w:rStyle w:val="a9"/>
            <w:rFonts w:ascii="Times New Roman" w:eastAsia="仿宋_GB2312" w:hAnsi="Times New Roman" w:cs="Times New Roman"/>
            <w:color w:val="auto"/>
            <w:spacing w:val="-6"/>
            <w:sz w:val="32"/>
            <w:szCs w:val="32"/>
          </w:rPr>
          <w:t>http://zzxt.qzedu.cn</w:t>
        </w:r>
        <w:r>
          <w:rPr>
            <w:rStyle w:val="a9"/>
            <w:rFonts w:ascii="Times New Roman" w:eastAsia="仿宋_GB2312" w:hAnsi="Times New Roman" w:cs="Times New Roman"/>
            <w:color w:val="auto"/>
            <w:spacing w:val="-6"/>
            <w:sz w:val="32"/>
            <w:szCs w:val="32"/>
          </w:rPr>
          <w:t>）</w:t>
        </w:r>
        <w:r>
          <w:rPr>
            <w:rStyle w:val="a9"/>
            <w:rFonts w:ascii="CESI仿宋-GB2312" w:eastAsia="CESI仿宋-GB2312" w:hAnsi="CESI仿宋-GB2312" w:cs="CESI仿宋-GB2312" w:hint="eastAsia"/>
            <w:color w:val="auto"/>
            <w:sz w:val="32"/>
            <w:szCs w:val="32"/>
          </w:rPr>
          <w:t>填报提前批志愿，</w:t>
        </w:r>
        <w:r>
          <w:rPr>
            <w:rStyle w:val="a9"/>
            <w:rFonts w:ascii="CESI仿宋-GB2312" w:eastAsia="CESI仿宋-GB2312" w:hAnsi="CESI仿宋-GB2312" w:cs="CESI仿宋-GB2312" w:hint="eastAsia"/>
            <w:color w:val="auto"/>
            <w:sz w:val="32"/>
            <w:szCs w:val="32"/>
          </w:rPr>
          <w:t>且填报我校学科类自主招生的考生</w:t>
        </w:r>
        <w:r>
          <w:rPr>
            <w:rStyle w:val="a9"/>
            <w:rFonts w:ascii="CESI仿宋-GB2312" w:eastAsia="CESI仿宋-GB2312" w:hAnsi="CESI仿宋-GB2312" w:cs="CESI仿宋-GB2312" w:hint="eastAsia"/>
            <w:color w:val="auto"/>
            <w:sz w:val="32"/>
            <w:szCs w:val="32"/>
          </w:rPr>
          <w:t>只能报考</w:t>
        </w:r>
        <w:r>
          <w:rPr>
            <w:rStyle w:val="a9"/>
            <w:rFonts w:ascii="CESI仿宋-GB2312" w:eastAsia="CESI仿宋-GB2312" w:hAnsi="CESI仿宋-GB2312" w:cs="CESI仿宋-GB2312" w:hint="eastAsia"/>
            <w:color w:val="auto"/>
            <w:sz w:val="32"/>
            <w:szCs w:val="32"/>
          </w:rPr>
          <w:t>“首都师范大学附属昌财实验中学”，</w:t>
        </w:r>
        <w:r>
          <w:rPr>
            <w:rStyle w:val="a9"/>
            <w:rFonts w:ascii="仿宋_GB2312" w:eastAsia="仿宋_GB2312" w:hAnsi="仿宋_GB2312" w:cs="仿宋_GB2312" w:hint="eastAsia"/>
            <w:color w:val="auto"/>
            <w:spacing w:val="-6"/>
            <w:sz w:val="32"/>
            <w:szCs w:val="32"/>
          </w:rPr>
          <w:t>不可以兼报其他学校，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兼报学生取消自主招生资格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未填报提前批志愿的考生，不能参加自主招生。</w:t>
      </w:r>
    </w:p>
    <w:p w14:paraId="32DBE4E9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黑体" w:eastAsia="黑体" w:hAnsi="宋体" w:cs="黑体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六、考试时间、地点及内容要求</w:t>
      </w:r>
    </w:p>
    <w:p w14:paraId="38E99783" w14:textId="77777777" w:rsidR="00A8053A" w:rsidRDefault="00AA6247">
      <w:pPr>
        <w:pStyle w:val="a6"/>
        <w:widowControl/>
        <w:shd w:val="clear" w:color="auto" w:fill="FFFFFF"/>
        <w:spacing w:beforeAutospacing="0" w:afterAutospacing="0" w:line="58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考试时间：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pacing w:val="-6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日。</w:t>
      </w:r>
    </w:p>
    <w:p w14:paraId="74664066" w14:textId="77777777" w:rsidR="00A8053A" w:rsidRDefault="00AA6247">
      <w:pPr>
        <w:pStyle w:val="a6"/>
        <w:widowControl/>
        <w:shd w:val="clear" w:color="auto" w:fill="FFFFFF"/>
        <w:spacing w:beforeAutospacing="0" w:afterAutospacing="0" w:line="58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pacing w:val="-6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考试地点：首都师范大学附属昌财实验中学</w:t>
      </w:r>
    </w:p>
    <w:p w14:paraId="11C171A8" w14:textId="77777777" w:rsidR="00A8053A" w:rsidRDefault="00AA6247">
      <w:pPr>
        <w:pStyle w:val="a6"/>
        <w:widowControl/>
        <w:shd w:val="clear" w:color="auto" w:fill="FFFFFF"/>
        <w:spacing w:beforeAutospacing="0" w:afterLines="50" w:after="156" w:afterAutospacing="0" w:line="58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2"/>
          <w:sz w:val="32"/>
          <w:szCs w:val="32"/>
        </w:rPr>
        <w:t>考试内容要求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（总分值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，具体见下表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</w:p>
    <w:tbl>
      <w:tblPr>
        <w:tblW w:w="840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995"/>
        <w:gridCol w:w="1803"/>
        <w:gridCol w:w="1482"/>
        <w:gridCol w:w="2012"/>
      </w:tblGrid>
      <w:tr w:rsidR="00A8053A" w14:paraId="1C009F0A" w14:textId="77777777">
        <w:trPr>
          <w:trHeight w:hRule="exact" w:val="680"/>
        </w:trPr>
        <w:tc>
          <w:tcPr>
            <w:tcW w:w="1112" w:type="dxa"/>
            <w:vAlign w:val="center"/>
          </w:tcPr>
          <w:p w14:paraId="45320363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科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1995" w:type="dxa"/>
            <w:vAlign w:val="center"/>
          </w:tcPr>
          <w:p w14:paraId="2AB8C023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满分值</w:t>
            </w:r>
          </w:p>
        </w:tc>
        <w:tc>
          <w:tcPr>
            <w:tcW w:w="1803" w:type="dxa"/>
            <w:vAlign w:val="center"/>
          </w:tcPr>
          <w:p w14:paraId="0CAFCA05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考核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EE5EA59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考核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时长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655C2B93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考核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</w:tr>
      <w:tr w:rsidR="00A8053A" w14:paraId="72986DC8" w14:textId="77777777">
        <w:trPr>
          <w:trHeight w:hRule="exact" w:val="680"/>
        </w:trPr>
        <w:tc>
          <w:tcPr>
            <w:tcW w:w="1112" w:type="dxa"/>
            <w:vAlign w:val="center"/>
          </w:tcPr>
          <w:p w14:paraId="5EE2070A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语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文</w:t>
            </w:r>
          </w:p>
        </w:tc>
        <w:tc>
          <w:tcPr>
            <w:tcW w:w="1995" w:type="dxa"/>
            <w:vAlign w:val="center"/>
          </w:tcPr>
          <w:p w14:paraId="2035049E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1803" w:type="dxa"/>
            <w:vAlign w:val="center"/>
          </w:tcPr>
          <w:p w14:paraId="2CFEF026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8:00—10:00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B4FB7F9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14:paraId="4C51A0F3" w14:textId="77777777" w:rsidR="00A8053A" w:rsidRDefault="00AA6247">
            <w:pPr>
              <w:widowControl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初中阶段所学学科基础知识与基本技能，以及运用所学知识分析问题、解决问题的能力。</w:t>
            </w:r>
          </w:p>
        </w:tc>
      </w:tr>
      <w:tr w:rsidR="00A8053A" w14:paraId="25B8DA79" w14:textId="77777777">
        <w:trPr>
          <w:trHeight w:hRule="exact" w:val="680"/>
        </w:trPr>
        <w:tc>
          <w:tcPr>
            <w:tcW w:w="1112" w:type="dxa"/>
            <w:vAlign w:val="center"/>
          </w:tcPr>
          <w:p w14:paraId="5CB873E3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数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学</w:t>
            </w:r>
          </w:p>
        </w:tc>
        <w:tc>
          <w:tcPr>
            <w:tcW w:w="1995" w:type="dxa"/>
            <w:vAlign w:val="center"/>
          </w:tcPr>
          <w:p w14:paraId="2B42AA67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150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1803" w:type="dxa"/>
            <w:vAlign w:val="center"/>
          </w:tcPr>
          <w:p w14:paraId="378FEA37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10:20—12:20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7190DAF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14:paraId="072EB3EA" w14:textId="77777777" w:rsidR="00A8053A" w:rsidRDefault="00A8053A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8053A" w14:paraId="2FD5C63F" w14:textId="77777777">
        <w:trPr>
          <w:trHeight w:val="800"/>
        </w:trPr>
        <w:tc>
          <w:tcPr>
            <w:tcW w:w="1112" w:type="dxa"/>
            <w:vAlign w:val="center"/>
          </w:tcPr>
          <w:p w14:paraId="3FA20BDB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综合科</w:t>
            </w:r>
          </w:p>
        </w:tc>
        <w:tc>
          <w:tcPr>
            <w:tcW w:w="1995" w:type="dxa"/>
            <w:vAlign w:val="center"/>
          </w:tcPr>
          <w:p w14:paraId="46AD975E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130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分（物理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80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分，化学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1803" w:type="dxa"/>
            <w:vAlign w:val="center"/>
          </w:tcPr>
          <w:p w14:paraId="0C94BD94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14:00—16:00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13994BB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14:paraId="590BAC17" w14:textId="77777777" w:rsidR="00A8053A" w:rsidRDefault="00A8053A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8053A" w14:paraId="643AB11C" w14:textId="77777777">
        <w:trPr>
          <w:trHeight w:hRule="exact" w:val="680"/>
        </w:trPr>
        <w:tc>
          <w:tcPr>
            <w:tcW w:w="1112" w:type="dxa"/>
            <w:vAlign w:val="center"/>
          </w:tcPr>
          <w:p w14:paraId="37233B33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英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语</w:t>
            </w:r>
          </w:p>
        </w:tc>
        <w:tc>
          <w:tcPr>
            <w:tcW w:w="1995" w:type="dxa"/>
            <w:vAlign w:val="center"/>
          </w:tcPr>
          <w:p w14:paraId="5DA2E4F9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1803" w:type="dxa"/>
            <w:vAlign w:val="center"/>
          </w:tcPr>
          <w:p w14:paraId="4D370F4E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16:20—17:50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452FDEC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90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14:paraId="0EE437BB" w14:textId="77777777" w:rsidR="00A8053A" w:rsidRDefault="00A8053A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8053A" w14:paraId="35B200BB" w14:textId="77777777">
        <w:trPr>
          <w:trHeight w:hRule="exact" w:val="680"/>
        </w:trPr>
        <w:tc>
          <w:tcPr>
            <w:tcW w:w="1112" w:type="dxa"/>
            <w:vAlign w:val="center"/>
          </w:tcPr>
          <w:p w14:paraId="3AA97782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注</w:t>
            </w:r>
          </w:p>
        </w:tc>
        <w:tc>
          <w:tcPr>
            <w:tcW w:w="7292" w:type="dxa"/>
            <w:gridSpan w:val="4"/>
            <w:vAlign w:val="center"/>
          </w:tcPr>
          <w:p w14:paraId="125A8521" w14:textId="77777777" w:rsidR="00A8053A" w:rsidRDefault="00AA6247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语文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考核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内容含阅读与写作，英语不含听力。</w:t>
            </w:r>
          </w:p>
        </w:tc>
      </w:tr>
    </w:tbl>
    <w:p w14:paraId="08D2D330" w14:textId="77777777" w:rsidR="00A8053A" w:rsidRDefault="00AA624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考试范围和难度：初中各学科课程标准规定的教学内容；试卷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难易度控制在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5:3:2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的比例。</w:t>
      </w:r>
    </w:p>
    <w:p w14:paraId="1AFC9655" w14:textId="77777777" w:rsidR="00A8053A" w:rsidRDefault="00AA624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pacing w:val="-6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考试方式：采用闭卷笔试。</w:t>
      </w:r>
    </w:p>
    <w:p w14:paraId="671FEFB4" w14:textId="77777777" w:rsidR="00A8053A" w:rsidRDefault="00AA6247">
      <w:pPr>
        <w:widowControl/>
        <w:shd w:val="clear" w:color="auto" w:fill="FFFFFF"/>
        <w:spacing w:line="580" w:lineRule="exact"/>
        <w:ind w:left="616"/>
        <w:jc w:val="left"/>
        <w:rPr>
          <w:rFonts w:ascii="黑体" w:eastAsia="黑体" w:hAnsi="宋体" w:cs="黑体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七、入围公示</w:t>
      </w:r>
    </w:p>
    <w:p w14:paraId="4F3BA867" w14:textId="77777777" w:rsidR="00A8053A" w:rsidRDefault="00AA6247">
      <w:pPr>
        <w:shd w:val="clear" w:color="auto" w:fill="FFFFFF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参加综合测试的考生，按语文、数学、英语、物理、化学五科综合测试卷面总成绩，从高分到低分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按招生计划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的比例确定入围预录取考生名单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。若五科综合测试总成绩相同，则语文、数学、英语三科成绩之和高分者优先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入围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；若语文、数学、英语三科成绩之和相同，则数学科成绩高分者优先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入围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3EB8535B" w14:textId="77777777" w:rsidR="00A8053A" w:rsidRDefault="00AA6247">
      <w:pPr>
        <w:shd w:val="clear" w:color="auto" w:fill="FFFFFF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入围结果将在</w:t>
      </w:r>
      <w:r>
        <w:rPr>
          <w:rFonts w:ascii="仿宋_GB2312" w:eastAsia="仿宋_GB2312" w:hAnsi="仿宋_GB2312" w:cs="仿宋_GB2312" w:hint="eastAsia"/>
          <w:sz w:val="32"/>
          <w:szCs w:val="32"/>
        </w:rPr>
        <w:t>首都师范大学附属昌财实验中学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予以公示，公示结束无异议后，报送市教育局招生考试中心审批。</w:t>
      </w:r>
    </w:p>
    <w:p w14:paraId="40629F07" w14:textId="77777777" w:rsidR="00A8053A" w:rsidRDefault="00AA6247">
      <w:pPr>
        <w:shd w:val="clear" w:color="auto" w:fill="FFFFFF"/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八、正式录取方式</w:t>
      </w:r>
    </w:p>
    <w:p w14:paraId="227BA8A3" w14:textId="77777777" w:rsidR="00A8053A" w:rsidRDefault="00AA6247">
      <w:pPr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入围预录取的考生均具备学科类自主招生资格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待中考成绩公布后，投档分达到泉州市普通高中最低录取控制线，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考生参加省级统一考试九门学科等级均达到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省一级达标高中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的最低等级要求的，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按照其投档分，从高分到低分择优录取至我校学科类自主招生计划完成，若投档分相同，则依次按照数学、语文、英语单科分数高者优先录取。</w:t>
      </w:r>
    </w:p>
    <w:p w14:paraId="7D012790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若我校入围预录取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考生数未达到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人，则在投档分达到泉州市普通高中最低录取控制线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的前提下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，按不超过入围预录取考生数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录取。</w:t>
      </w:r>
    </w:p>
    <w:p w14:paraId="3057C1EA" w14:textId="77777777" w:rsidR="00A8053A" w:rsidRDefault="00AA6247">
      <w:pPr>
        <w:adjustRightInd w:val="0"/>
        <w:snapToGrid w:val="0"/>
        <w:spacing w:line="58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所有参加学科类自主招生的学生必须参加初中学业水平考试。参加学科类自主招生入围预录取的考生被正式录取确认后，不再参加后续中招切线录取招生；未被正式录取的，该生按其志愿和成绩参加后续中招切线录取招生。</w:t>
      </w:r>
    </w:p>
    <w:p w14:paraId="31B6F890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九、保障机制</w:t>
      </w:r>
    </w:p>
    <w:p w14:paraId="536A7BE3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仿宋_GB2312" w:eastAsia="仿宋_GB2312" w:hAnsi="宋体" w:cs="仿宋_GB2312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学校成立自主招生工作领导组，严格按照“公平、公正、公开”的原则，加强对自主招生工作的全程检查督导。领导组负责对自主招生工作的全程</w:t>
      </w:r>
      <w:r>
        <w:rPr>
          <w:rFonts w:ascii="Times New Roman" w:eastAsia="仿宋_GB2312" w:hAnsi="Times New Roman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监督，举报电话：</w:t>
      </w:r>
      <w:r>
        <w:rPr>
          <w:rFonts w:ascii="Times New Roman" w:eastAsia="宋体" w:hAnsi="Times New Roman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0595-86568330</w:t>
      </w:r>
      <w:r>
        <w:rPr>
          <w:rFonts w:ascii="Times New Roman" w:eastAsia="仿宋_GB2312" w:hAnsi="Times New Roman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。</w:t>
      </w:r>
    </w:p>
    <w:p w14:paraId="371F898F" w14:textId="77777777" w:rsidR="00A8053A" w:rsidRDefault="00AA6247">
      <w:pPr>
        <w:widowControl/>
        <w:shd w:val="clear" w:color="auto" w:fill="FFFFFF"/>
        <w:spacing w:line="580" w:lineRule="exact"/>
        <w:ind w:firstLine="616"/>
        <w:jc w:val="left"/>
        <w:rPr>
          <w:rFonts w:ascii="黑体" w:eastAsia="黑体" w:hAnsi="宋体" w:cs="黑体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000000" w:themeColor="text1"/>
          <w:spacing w:val="-6"/>
          <w:kern w:val="0"/>
          <w:sz w:val="32"/>
          <w:szCs w:val="32"/>
          <w:shd w:val="clear" w:color="auto" w:fill="FFFFFF"/>
          <w:lang w:bidi="ar"/>
        </w:rPr>
        <w:t>十、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其它事项</w:t>
      </w:r>
    </w:p>
    <w:p w14:paraId="4FED0179" w14:textId="77777777" w:rsidR="00A8053A" w:rsidRDefault="00AA6247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（一）咨询地址及联系电话</w:t>
      </w:r>
    </w:p>
    <w:p w14:paraId="525E6695" w14:textId="77777777" w:rsidR="00A8053A" w:rsidRDefault="00AA6247">
      <w:pPr>
        <w:pStyle w:val="a6"/>
        <w:widowControl/>
        <w:shd w:val="clear" w:color="auto" w:fill="FFFFFF"/>
        <w:spacing w:beforeAutospacing="0" w:afterAutospacing="0" w:line="580" w:lineRule="exact"/>
        <w:ind w:firstLine="516"/>
        <w:rPr>
          <w:rFonts w:ascii="仿宋_GB2312" w:eastAsia="仿宋_GB2312" w:hAnsi="宋体" w:cs="仿宋_GB2312"/>
          <w:color w:val="000000" w:themeColor="text1"/>
          <w:spacing w:val="-2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noProof/>
          <w:color w:val="000000" w:themeColor="text1"/>
          <w:spacing w:val="-23"/>
          <w:sz w:val="32"/>
          <w:szCs w:val="32"/>
          <w:shd w:val="clear" w:color="auto" w:fill="FFFFFF"/>
          <w:lang w:bidi="ar"/>
        </w:rPr>
        <w:drawing>
          <wp:anchor distT="0" distB="0" distL="114300" distR="114300" simplePos="0" relativeHeight="251659264" behindDoc="1" locked="0" layoutInCell="1" allowOverlap="1" wp14:anchorId="6D8A8EC6" wp14:editId="77943F48">
            <wp:simplePos x="0" y="0"/>
            <wp:positionH relativeFrom="column">
              <wp:posOffset>3994785</wp:posOffset>
            </wp:positionH>
            <wp:positionV relativeFrom="paragraph">
              <wp:posOffset>333375</wp:posOffset>
            </wp:positionV>
            <wp:extent cx="1284605" cy="1315720"/>
            <wp:effectExtent l="0" t="0" r="10795" b="10160"/>
            <wp:wrapTight wrapText="bothSides">
              <wp:wrapPolygon edited="0">
                <wp:start x="0" y="0"/>
                <wp:lineTo x="0" y="21266"/>
                <wp:lineTo x="21269" y="21266"/>
                <wp:lineTo x="21269" y="0"/>
                <wp:lineTo x="0" y="0"/>
              </wp:wrapPolygon>
            </wp:wrapTight>
            <wp:docPr id="1" name="图片 1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"/>
                    <pic:cNvPicPr>
                      <a:picLocks noChangeAspect="1"/>
                    </pic:cNvPicPr>
                  </pic:nvPicPr>
                  <pic:blipFill>
                    <a:blip r:embed="rId9"/>
                    <a:srcRect r="3077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仿宋_GB2312" w:hint="eastAsia"/>
          <w:color w:val="000000" w:themeColor="text1"/>
          <w:spacing w:val="-23"/>
          <w:sz w:val="32"/>
          <w:szCs w:val="32"/>
          <w:shd w:val="clear" w:color="auto" w:fill="FFFFFF"/>
          <w:lang w:bidi="ar"/>
        </w:rPr>
        <w:t>地址：南安市罗东镇源昌银河湖滨南路</w:t>
      </w:r>
      <w:r>
        <w:rPr>
          <w:rFonts w:ascii="仿宋_GB2312" w:eastAsia="仿宋_GB2312" w:hAnsi="宋体" w:cs="仿宋_GB2312" w:hint="eastAsia"/>
          <w:color w:val="000000" w:themeColor="text1"/>
          <w:spacing w:val="-23"/>
          <w:sz w:val="32"/>
          <w:szCs w:val="32"/>
          <w:shd w:val="clear" w:color="auto" w:fill="FFFFFF"/>
          <w:lang w:bidi="ar"/>
        </w:rPr>
        <w:t>199</w:t>
      </w:r>
      <w:r>
        <w:rPr>
          <w:rFonts w:ascii="仿宋_GB2312" w:eastAsia="仿宋_GB2312" w:hAnsi="宋体" w:cs="仿宋_GB2312" w:hint="eastAsia"/>
          <w:color w:val="000000" w:themeColor="text1"/>
          <w:spacing w:val="-23"/>
          <w:sz w:val="32"/>
          <w:szCs w:val="32"/>
          <w:shd w:val="clear" w:color="auto" w:fill="FFFFFF"/>
          <w:lang w:bidi="ar"/>
        </w:rPr>
        <w:t>号</w:t>
      </w:r>
    </w:p>
    <w:p w14:paraId="0A9243FD" w14:textId="77777777" w:rsidR="00A8053A" w:rsidRDefault="00AA6247">
      <w:pPr>
        <w:pStyle w:val="a6"/>
        <w:widowControl/>
        <w:shd w:val="clear" w:color="auto" w:fill="FFFFFF"/>
        <w:spacing w:beforeAutospacing="0" w:afterAutospacing="0" w:line="580" w:lineRule="exact"/>
        <w:ind w:firstLine="516"/>
        <w:rPr>
          <w:rFonts w:ascii="仿宋_GB2312" w:eastAsia="仿宋_GB2312" w:hAnsi="宋体" w:cs="仿宋_GB2312"/>
          <w:color w:val="000000" w:themeColor="text1"/>
          <w:spacing w:val="-6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  <w:shd w:val="clear" w:color="auto" w:fill="FFFFFF"/>
          <w:lang w:bidi="ar"/>
        </w:rPr>
        <w:t>联系人：陈老师（</w:t>
      </w:r>
      <w:r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  <w:shd w:val="clear" w:color="auto" w:fill="FFFFFF"/>
          <w:lang w:bidi="ar"/>
        </w:rPr>
        <w:t>18965768306</w:t>
      </w:r>
      <w:r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  <w:shd w:val="clear" w:color="auto" w:fill="FFFFFF"/>
          <w:lang w:bidi="ar"/>
        </w:rPr>
        <w:t>）</w:t>
      </w:r>
    </w:p>
    <w:p w14:paraId="2846FCEE" w14:textId="77777777" w:rsidR="00A8053A" w:rsidRDefault="00AA6247">
      <w:pPr>
        <w:pStyle w:val="a6"/>
        <w:widowControl/>
        <w:shd w:val="clear" w:color="auto" w:fill="FFFFFF"/>
        <w:spacing w:beforeAutospacing="0" w:afterAutospacing="0" w:line="580" w:lineRule="exact"/>
        <w:ind w:firstLineChars="544" w:firstLine="1676"/>
        <w:rPr>
          <w:rFonts w:ascii="仿宋_GB2312" w:eastAsia="仿宋_GB2312" w:hAnsi="宋体" w:cs="仿宋_GB2312"/>
          <w:color w:val="000000" w:themeColor="text1"/>
          <w:spacing w:val="-6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  <w:shd w:val="clear" w:color="auto" w:fill="FFFFFF"/>
          <w:lang w:bidi="ar"/>
        </w:rPr>
        <w:t>叶老师（</w:t>
      </w:r>
      <w:r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  <w:shd w:val="clear" w:color="auto" w:fill="FFFFFF"/>
          <w:lang w:bidi="ar"/>
        </w:rPr>
        <w:t>15260732178</w:t>
      </w:r>
      <w:r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  <w:shd w:val="clear" w:color="auto" w:fill="FFFFFF"/>
          <w:lang w:bidi="ar"/>
        </w:rPr>
        <w:t>）</w:t>
      </w:r>
    </w:p>
    <w:p w14:paraId="4661FCE5" w14:textId="77777777" w:rsidR="00A8053A" w:rsidRDefault="00AA6247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）招生过程不收取任何费用，提醒考生家长防止诈骗行为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。</w:t>
      </w:r>
    </w:p>
    <w:p w14:paraId="382FAD24" w14:textId="77777777" w:rsidR="00A8053A" w:rsidRDefault="00AA6247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）本招生方案未尽事宜由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首都师范大学附属昌财实验中学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招生领导小组负责解释。</w:t>
      </w:r>
    </w:p>
    <w:p w14:paraId="181210A7" w14:textId="77777777" w:rsidR="00A8053A" w:rsidRDefault="00A8053A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</w:p>
    <w:p w14:paraId="08159097" w14:textId="77777777" w:rsidR="00A8053A" w:rsidRDefault="00A8053A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</w:p>
    <w:p w14:paraId="3E58B3FE" w14:textId="77777777" w:rsidR="00A8053A" w:rsidRDefault="00A8053A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</w:p>
    <w:p w14:paraId="6BFDE785" w14:textId="77777777" w:rsidR="00A8053A" w:rsidRDefault="00A8053A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</w:p>
    <w:p w14:paraId="06A7C7C4" w14:textId="77777777" w:rsidR="00A8053A" w:rsidRDefault="00AA6247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</w:p>
    <w:p w14:paraId="6DA753C9" w14:textId="77777777" w:rsidR="00A8053A" w:rsidRDefault="00AA6247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南安市</w:t>
      </w:r>
      <w:r>
        <w:rPr>
          <w:rFonts w:ascii="方正小标宋简体" w:eastAsia="方正小标宋简体" w:hAnsi="仿宋_GB2312" w:cs="仿宋_GB2312"/>
          <w:color w:val="000000"/>
          <w:sz w:val="36"/>
          <w:szCs w:val="36"/>
        </w:rPr>
        <w:t>20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22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普通高中学科类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自主招生考试报名表</w:t>
      </w:r>
    </w:p>
    <w:tbl>
      <w:tblPr>
        <w:tblW w:w="93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40"/>
        <w:gridCol w:w="505"/>
        <w:gridCol w:w="55"/>
        <w:gridCol w:w="520"/>
        <w:gridCol w:w="580"/>
        <w:gridCol w:w="155"/>
        <w:gridCol w:w="546"/>
        <w:gridCol w:w="416"/>
        <w:gridCol w:w="253"/>
        <w:gridCol w:w="32"/>
        <w:gridCol w:w="223"/>
        <w:gridCol w:w="435"/>
        <w:gridCol w:w="43"/>
        <w:gridCol w:w="701"/>
        <w:gridCol w:w="616"/>
        <w:gridCol w:w="600"/>
        <w:gridCol w:w="260"/>
        <w:gridCol w:w="420"/>
        <w:gridCol w:w="945"/>
        <w:gridCol w:w="825"/>
      </w:tblGrid>
      <w:tr w:rsidR="00A8053A" w14:paraId="325A3097" w14:textId="77777777">
        <w:trPr>
          <w:trHeight w:val="616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463EF4" w14:textId="77777777" w:rsidR="00A8053A" w:rsidRDefault="00AA6247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sz="12" w:space="0" w:color="auto"/>
            </w:tcBorders>
            <w:vAlign w:val="center"/>
          </w:tcPr>
          <w:p w14:paraId="6CE9F712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66B864F9" w14:textId="77777777" w:rsidR="00A8053A" w:rsidRDefault="00AA6247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</w:tcBorders>
            <w:vAlign w:val="center"/>
          </w:tcPr>
          <w:p w14:paraId="4B0692FA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12" w:space="0" w:color="auto"/>
            </w:tcBorders>
            <w:vAlign w:val="center"/>
          </w:tcPr>
          <w:p w14:paraId="56415796" w14:textId="77777777" w:rsidR="00A8053A" w:rsidRDefault="00AA6247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中考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考生号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</w:tcBorders>
            <w:vAlign w:val="center"/>
          </w:tcPr>
          <w:p w14:paraId="23C9FC5F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38B0D" w14:textId="77777777" w:rsidR="00A8053A" w:rsidRDefault="00AA6247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A8053A" w14:paraId="7844126B" w14:textId="77777777">
        <w:trPr>
          <w:trHeight w:val="46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4906D38B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435" w:type="dxa"/>
            <w:gridSpan w:val="15"/>
            <w:vAlign w:val="center"/>
          </w:tcPr>
          <w:p w14:paraId="25EE484D" w14:textId="77777777" w:rsidR="00A8053A" w:rsidRDefault="00A8053A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1586C6B" w14:textId="77777777" w:rsidR="00A8053A" w:rsidRDefault="00A8053A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73F27D6C" w14:textId="77777777">
        <w:trPr>
          <w:trHeight w:val="45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668392FF" w14:textId="77777777" w:rsidR="00A8053A" w:rsidRDefault="00AA6247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家长姓名</w:t>
            </w:r>
          </w:p>
        </w:tc>
        <w:tc>
          <w:tcPr>
            <w:tcW w:w="1310" w:type="dxa"/>
            <w:gridSpan w:val="4"/>
            <w:vAlign w:val="center"/>
          </w:tcPr>
          <w:p w14:paraId="60AB31DA" w14:textId="77777777" w:rsidR="00A8053A" w:rsidRDefault="00A8053A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22A463A5" w14:textId="77777777" w:rsidR="00A8053A" w:rsidRDefault="00AA6247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pacing w:val="-11"/>
                <w:kern w:val="0"/>
                <w:sz w:val="24"/>
              </w:rPr>
              <w:t>联系电话</w:t>
            </w:r>
          </w:p>
        </w:tc>
        <w:tc>
          <w:tcPr>
            <w:tcW w:w="2910" w:type="dxa"/>
            <w:gridSpan w:val="8"/>
            <w:vAlign w:val="center"/>
          </w:tcPr>
          <w:p w14:paraId="178F768D" w14:textId="77777777" w:rsidR="00A8053A" w:rsidRDefault="00A8053A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5C3CF3E" w14:textId="77777777" w:rsidR="00A8053A" w:rsidRDefault="00A8053A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4589092F" w14:textId="77777777">
        <w:trPr>
          <w:trHeight w:val="436"/>
        </w:trPr>
        <w:tc>
          <w:tcPr>
            <w:tcW w:w="7171" w:type="dxa"/>
            <w:gridSpan w:val="18"/>
            <w:tcBorders>
              <w:left w:val="single" w:sz="12" w:space="0" w:color="auto"/>
            </w:tcBorders>
            <w:vAlign w:val="center"/>
          </w:tcPr>
          <w:p w14:paraId="38C29AD6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基　本　素　质</w:t>
            </w: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CBACE4C" w14:textId="77777777" w:rsidR="00A8053A" w:rsidRDefault="00A8053A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6CB7ADA3" w14:textId="77777777">
        <w:trPr>
          <w:trHeight w:val="436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14:paraId="3532262B" w14:textId="77777777" w:rsidR="00A8053A" w:rsidRDefault="00AA6247">
            <w:pPr>
              <w:spacing w:line="30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</w:rPr>
              <w:t>实验考查成绩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gridSpan w:val="2"/>
            <w:vAlign w:val="center"/>
          </w:tcPr>
          <w:p w14:paraId="5FEF0E25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310" w:type="dxa"/>
            <w:gridSpan w:val="4"/>
            <w:vAlign w:val="center"/>
          </w:tcPr>
          <w:p w14:paraId="70FE8911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FDD3308" w14:textId="77777777" w:rsidR="00A8053A" w:rsidRDefault="00AA6247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508" w:type="dxa"/>
            <w:gridSpan w:val="3"/>
            <w:vAlign w:val="center"/>
          </w:tcPr>
          <w:p w14:paraId="13FB9C71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36AD4922" w14:textId="77777777" w:rsidR="00A8053A" w:rsidRDefault="00AA6247">
            <w:pPr>
              <w:spacing w:line="3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60" w:type="dxa"/>
            <w:gridSpan w:val="2"/>
            <w:vAlign w:val="center"/>
          </w:tcPr>
          <w:p w14:paraId="30DB6C07" w14:textId="77777777" w:rsidR="00A8053A" w:rsidRDefault="00A8053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CCC17BD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8053A" w14:paraId="5A65BE16" w14:textId="77777777">
        <w:trPr>
          <w:trHeight w:val="576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5D8D2958" w14:textId="77777777" w:rsidR="00A8053A" w:rsidRDefault="00AA6247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综合素质等级</w:t>
            </w:r>
          </w:p>
        </w:tc>
        <w:tc>
          <w:tcPr>
            <w:tcW w:w="13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FACD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382F" w14:textId="77777777" w:rsidR="00A8053A" w:rsidRDefault="00AA6247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与健康考试成绩</w:t>
            </w:r>
          </w:p>
        </w:tc>
        <w:tc>
          <w:tcPr>
            <w:tcW w:w="3050" w:type="dxa"/>
            <w:gridSpan w:val="5"/>
            <w:tcBorders>
              <w:right w:val="single" w:sz="12" w:space="0" w:color="auto"/>
            </w:tcBorders>
            <w:vAlign w:val="center"/>
          </w:tcPr>
          <w:p w14:paraId="05C10EE9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8053A" w14:paraId="2F14A32D" w14:textId="77777777">
        <w:trPr>
          <w:trHeight w:val="576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0C3A29BD" w14:textId="77777777" w:rsidR="00A8053A" w:rsidRDefault="00AA624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竞赛获奖</w:t>
            </w:r>
          </w:p>
        </w:tc>
        <w:tc>
          <w:tcPr>
            <w:tcW w:w="7625" w:type="dxa"/>
            <w:gridSpan w:val="18"/>
            <w:tcBorders>
              <w:right w:val="single" w:sz="12" w:space="0" w:color="auto"/>
            </w:tcBorders>
            <w:vAlign w:val="center"/>
          </w:tcPr>
          <w:p w14:paraId="2E5FDFAC" w14:textId="77777777" w:rsidR="00A8053A" w:rsidRDefault="00A8053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8053A" w14:paraId="26FD3C43" w14:textId="77777777">
        <w:trPr>
          <w:trHeight w:val="393"/>
        </w:trPr>
        <w:tc>
          <w:tcPr>
            <w:tcW w:w="9361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4B915" w14:textId="77777777" w:rsidR="00A8053A" w:rsidRDefault="00AA6247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平　时　成　绩</w:t>
            </w:r>
          </w:p>
        </w:tc>
      </w:tr>
      <w:tr w:rsidR="00A8053A" w14:paraId="69F6ED04" w14:textId="77777777">
        <w:trPr>
          <w:trHeight w:val="640"/>
        </w:trPr>
        <w:tc>
          <w:tcPr>
            <w:tcW w:w="1231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5BFDA3D0" w14:textId="77777777" w:rsidR="00A8053A" w:rsidRDefault="00AA6247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　科目</w:t>
            </w:r>
          </w:p>
          <w:p w14:paraId="2C825BB9" w14:textId="77777777" w:rsidR="00A8053A" w:rsidRDefault="00AA6247">
            <w:pPr>
              <w:spacing w:line="340" w:lineRule="exact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学期</w:t>
            </w:r>
          </w:p>
        </w:tc>
        <w:tc>
          <w:tcPr>
            <w:tcW w:w="560" w:type="dxa"/>
            <w:gridSpan w:val="2"/>
            <w:vAlign w:val="center"/>
          </w:tcPr>
          <w:p w14:paraId="20059709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语文</w:t>
            </w:r>
          </w:p>
        </w:tc>
        <w:tc>
          <w:tcPr>
            <w:tcW w:w="520" w:type="dxa"/>
            <w:vAlign w:val="center"/>
          </w:tcPr>
          <w:p w14:paraId="117FEB0C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数学</w:t>
            </w:r>
          </w:p>
        </w:tc>
        <w:tc>
          <w:tcPr>
            <w:tcW w:w="580" w:type="dxa"/>
            <w:vAlign w:val="center"/>
          </w:tcPr>
          <w:p w14:paraId="7368D65E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英语</w:t>
            </w:r>
          </w:p>
        </w:tc>
        <w:tc>
          <w:tcPr>
            <w:tcW w:w="701" w:type="dxa"/>
            <w:gridSpan w:val="2"/>
            <w:vAlign w:val="center"/>
          </w:tcPr>
          <w:p w14:paraId="17F4B808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物理</w:t>
            </w:r>
          </w:p>
          <w:p w14:paraId="2244C354" w14:textId="77777777" w:rsidR="00A8053A" w:rsidRDefault="00AA624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gridSpan w:val="3"/>
            <w:vAlign w:val="center"/>
          </w:tcPr>
          <w:p w14:paraId="43063EBD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化学</w:t>
            </w:r>
          </w:p>
          <w:p w14:paraId="61A1AE9A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gridSpan w:val="3"/>
            <w:vAlign w:val="center"/>
          </w:tcPr>
          <w:p w14:paraId="12B430E6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道法</w:t>
            </w:r>
          </w:p>
          <w:p w14:paraId="25C4B110" w14:textId="77777777" w:rsidR="00A8053A" w:rsidRDefault="00AA6247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vAlign w:val="center"/>
          </w:tcPr>
          <w:p w14:paraId="05C96D8F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历史</w:t>
            </w:r>
          </w:p>
          <w:p w14:paraId="1B7CCA03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616" w:type="dxa"/>
            <w:vAlign w:val="center"/>
          </w:tcPr>
          <w:p w14:paraId="1D5E9E5F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成绩</w:t>
            </w:r>
          </w:p>
        </w:tc>
        <w:tc>
          <w:tcPr>
            <w:tcW w:w="600" w:type="dxa"/>
            <w:vAlign w:val="center"/>
          </w:tcPr>
          <w:p w14:paraId="51EE6EB7" w14:textId="77777777" w:rsidR="00A8053A" w:rsidRDefault="00AA6247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权重</w:t>
            </w:r>
          </w:p>
        </w:tc>
        <w:tc>
          <w:tcPr>
            <w:tcW w:w="680" w:type="dxa"/>
            <w:gridSpan w:val="2"/>
            <w:vAlign w:val="center"/>
          </w:tcPr>
          <w:p w14:paraId="431A31E8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对应　分值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5EF95970" w14:textId="77777777" w:rsidR="00A8053A" w:rsidRDefault="00AA6247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总分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1EE8F475" w14:textId="77777777" w:rsidR="00A8053A" w:rsidRDefault="00AA6247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学校　名次</w:t>
            </w:r>
          </w:p>
        </w:tc>
      </w:tr>
      <w:tr w:rsidR="00A8053A" w14:paraId="294FD60D" w14:textId="77777777">
        <w:trPr>
          <w:trHeight w:val="595"/>
        </w:trPr>
        <w:tc>
          <w:tcPr>
            <w:tcW w:w="1231" w:type="dxa"/>
            <w:gridSpan w:val="2"/>
            <w:tcBorders>
              <w:left w:val="single" w:sz="12" w:space="0" w:color="auto"/>
            </w:tcBorders>
            <w:vAlign w:val="center"/>
          </w:tcPr>
          <w:p w14:paraId="40EF9B5A" w14:textId="77777777" w:rsidR="00A8053A" w:rsidRDefault="00AA624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初三上</w:t>
            </w:r>
          </w:p>
          <w:p w14:paraId="4327B0EC" w14:textId="77777777" w:rsidR="00A8053A" w:rsidRDefault="00AA624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560" w:type="dxa"/>
            <w:gridSpan w:val="2"/>
            <w:vAlign w:val="center"/>
          </w:tcPr>
          <w:p w14:paraId="64BB36C8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7D3189D1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vAlign w:val="center"/>
          </w:tcPr>
          <w:p w14:paraId="70811E18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246C72A3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6F768AB0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31B379F9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4D5B1EFF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3BC0F8CD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751593FB" w14:textId="77777777" w:rsidR="00A8053A" w:rsidRDefault="00AA6247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kern w:val="0"/>
                <w:szCs w:val="21"/>
              </w:rPr>
              <w:t>20%</w:t>
            </w:r>
          </w:p>
        </w:tc>
        <w:tc>
          <w:tcPr>
            <w:tcW w:w="680" w:type="dxa"/>
            <w:gridSpan w:val="2"/>
            <w:vAlign w:val="center"/>
          </w:tcPr>
          <w:p w14:paraId="57DAF746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FF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064D1246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right w:val="single" w:sz="12" w:space="0" w:color="auto"/>
            </w:tcBorders>
            <w:vAlign w:val="center"/>
          </w:tcPr>
          <w:p w14:paraId="55C2B2BD" w14:textId="77777777" w:rsidR="00A8053A" w:rsidRDefault="00A8053A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71242EAD" w14:textId="77777777">
        <w:trPr>
          <w:cantSplit/>
          <w:trHeight w:val="576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D37EF2" w14:textId="77777777" w:rsidR="00A8053A" w:rsidRDefault="00AA624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月</w:t>
            </w:r>
          </w:p>
          <w:p w14:paraId="2AB9FC08" w14:textId="77777777" w:rsidR="00A8053A" w:rsidRDefault="00AA624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泉州质检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68AF6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C0DA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61F5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6CA06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10FBC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58B0C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0679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5C39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D1BE" w14:textId="77777777" w:rsidR="00A8053A" w:rsidRDefault="00AA6247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kern w:val="0"/>
                <w:szCs w:val="21"/>
              </w:rPr>
              <w:t>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5A76" w14:textId="77777777" w:rsidR="00A8053A" w:rsidRDefault="00A8053A">
            <w:pPr>
              <w:spacing w:line="340" w:lineRule="exact"/>
              <w:rPr>
                <w:rFonts w:ascii="宋体" w:cs="方正小标宋简体"/>
                <w:color w:val="FF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14:paraId="4BD54532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right w:val="single" w:sz="12" w:space="0" w:color="auto"/>
            </w:tcBorders>
            <w:vAlign w:val="center"/>
          </w:tcPr>
          <w:p w14:paraId="4FCC7152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27B88A02" w14:textId="77777777">
        <w:trPr>
          <w:cantSplit/>
          <w:trHeight w:val="576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FA587" w14:textId="77777777" w:rsidR="00A8053A" w:rsidRDefault="00AA624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月</w:t>
            </w:r>
          </w:p>
          <w:p w14:paraId="1D1DD721" w14:textId="77777777" w:rsidR="00A8053A" w:rsidRDefault="00AA6247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泉州质检二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2D17A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AE98B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6A7D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13F4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2499D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DAF0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E6EE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505B7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FB5F" w14:textId="77777777" w:rsidR="00A8053A" w:rsidRDefault="00AA6247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1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kern w:val="0"/>
                <w:szCs w:val="21"/>
              </w:rPr>
              <w:t>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46B3" w14:textId="77777777" w:rsidR="00A8053A" w:rsidRDefault="00A8053A">
            <w:pPr>
              <w:spacing w:line="340" w:lineRule="exact"/>
              <w:rPr>
                <w:rFonts w:ascii="宋体" w:cs="方正小标宋简体"/>
                <w:color w:val="FF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14:paraId="55F51D0A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right w:val="single" w:sz="12" w:space="0" w:color="auto"/>
            </w:tcBorders>
            <w:vAlign w:val="center"/>
          </w:tcPr>
          <w:p w14:paraId="3767E492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0546CC69" w14:textId="77777777">
        <w:trPr>
          <w:cantSplit/>
          <w:trHeight w:val="680"/>
        </w:trPr>
        <w:tc>
          <w:tcPr>
            <w:tcW w:w="1791" w:type="dxa"/>
            <w:gridSpan w:val="4"/>
            <w:tcBorders>
              <w:left w:val="single" w:sz="12" w:space="0" w:color="auto"/>
            </w:tcBorders>
            <w:vAlign w:val="center"/>
          </w:tcPr>
          <w:p w14:paraId="6D9347D0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1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2"/>
              </w:rPr>
              <w:t>成绩统计</w:t>
            </w:r>
          </w:p>
          <w:p w14:paraId="4636F5A4" w14:textId="77777777" w:rsidR="00A8053A" w:rsidRDefault="00AA624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2"/>
              </w:rPr>
              <w:t>人员</w:t>
            </w:r>
            <w:r>
              <w:rPr>
                <w:rFonts w:ascii="宋体" w:hAnsi="宋体" w:cs="方正小标宋简体" w:hint="eastAsia"/>
                <w:color w:val="000000"/>
                <w:spacing w:val="-11"/>
                <w:kern w:val="0"/>
                <w:sz w:val="22"/>
              </w:rPr>
              <w:t>签名</w:t>
            </w:r>
          </w:p>
        </w:tc>
        <w:tc>
          <w:tcPr>
            <w:tcW w:w="7570" w:type="dxa"/>
            <w:gridSpan w:val="17"/>
            <w:tcBorders>
              <w:right w:val="single" w:sz="12" w:space="0" w:color="auto"/>
            </w:tcBorders>
            <w:vAlign w:val="center"/>
          </w:tcPr>
          <w:p w14:paraId="457A70D1" w14:textId="77777777" w:rsidR="00A8053A" w:rsidRDefault="00A8053A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A8053A" w14:paraId="7AB06CDC" w14:textId="77777777">
        <w:trPr>
          <w:cantSplit/>
          <w:trHeight w:val="615"/>
        </w:trPr>
        <w:tc>
          <w:tcPr>
            <w:tcW w:w="179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C7A64" w14:textId="77777777" w:rsidR="00A8053A" w:rsidRDefault="00AA6247">
            <w:pPr>
              <w:spacing w:line="340" w:lineRule="exact"/>
              <w:jc w:val="center"/>
              <w:rPr>
                <w:rFonts w:ascii="宋体" w:eastAsia="宋体" w:cs="方正小标宋简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7570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0022E" w14:textId="77777777" w:rsidR="00A8053A" w:rsidRDefault="00A8053A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8053A" w14:paraId="6E5B208E" w14:textId="77777777">
        <w:trPr>
          <w:trHeight w:val="2807"/>
        </w:trPr>
        <w:tc>
          <w:tcPr>
            <w:tcW w:w="4516" w:type="dxa"/>
            <w:gridSpan w:val="1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D1F11" w14:textId="77777777" w:rsidR="00A8053A" w:rsidRDefault="00AA6247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意见：</w:t>
            </w:r>
          </w:p>
          <w:p w14:paraId="72ADC5C9" w14:textId="77777777" w:rsidR="00A8053A" w:rsidRDefault="00AA6247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以上情况，已经本人核实无误。</w:t>
            </w:r>
          </w:p>
          <w:p w14:paraId="0F899E78" w14:textId="77777777" w:rsidR="00A8053A" w:rsidRDefault="00A8053A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D910B2E" w14:textId="77777777" w:rsidR="00A8053A" w:rsidRDefault="00AA6247">
            <w:pPr>
              <w:spacing w:line="340" w:lineRule="exact"/>
              <w:ind w:firstLineChars="650" w:firstLine="156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签名：</w:t>
            </w:r>
          </w:p>
          <w:p w14:paraId="3066B648" w14:textId="77777777" w:rsidR="00A8053A" w:rsidRDefault="00A8053A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6F6BC870" w14:textId="77777777" w:rsidR="00A8053A" w:rsidRDefault="00AA6247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4845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55A31" w14:textId="77777777" w:rsidR="00A8053A" w:rsidRDefault="00A8053A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391B3B0" w14:textId="77777777" w:rsidR="00A8053A" w:rsidRDefault="00AA6247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学校意见：</w:t>
            </w:r>
          </w:p>
          <w:p w14:paraId="27A72F05" w14:textId="77777777" w:rsidR="00A8053A" w:rsidRDefault="00AA6247">
            <w:pPr>
              <w:spacing w:line="340" w:lineRule="exact"/>
              <w:ind w:firstLineChars="650" w:firstLine="156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  <w:p w14:paraId="53C3A29D" w14:textId="77777777" w:rsidR="00A8053A" w:rsidRDefault="00AA6247">
            <w:pPr>
              <w:spacing w:line="340" w:lineRule="exact"/>
              <w:ind w:firstLineChars="700" w:firstLine="168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校长签名：</w:t>
            </w:r>
          </w:p>
          <w:p w14:paraId="13424C09" w14:textId="77777777" w:rsidR="00A8053A" w:rsidRDefault="00AA6247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学校盖章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　　　　　　　　　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</w:t>
            </w:r>
            <w:proofErr w:type="gramEnd"/>
          </w:p>
          <w:p w14:paraId="716BB76E" w14:textId="77777777" w:rsidR="00A8053A" w:rsidRDefault="00AA6247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</w:t>
            </w:r>
          </w:p>
          <w:p w14:paraId="4C68DFB6" w14:textId="77777777" w:rsidR="00A8053A" w:rsidRDefault="00AA6247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38FCE6D1" w14:textId="77777777" w:rsidR="00A8053A" w:rsidRDefault="00AA6247">
      <w:pPr>
        <w:spacing w:line="340" w:lineRule="exact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11"/>
          <w:kern w:val="0"/>
          <w:sz w:val="24"/>
        </w:rPr>
        <w:t>注：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11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本表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  <w:szCs w:val="24"/>
          <w:lang w:bidi="ar"/>
        </w:rPr>
        <w:t>由参加学科类自主招生考试入围遴选的考生填写，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一式二份，一份学校留存，一份送</w:t>
      </w:r>
    </w:p>
    <w:p w14:paraId="592FA3E2" w14:textId="77777777" w:rsidR="00A8053A" w:rsidRDefault="00AA6247">
      <w:pPr>
        <w:spacing w:line="340" w:lineRule="exact"/>
        <w:ind w:firstLineChars="300" w:firstLine="654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市教育局中教科。</w:t>
      </w:r>
    </w:p>
    <w:p w14:paraId="13AF0BA4" w14:textId="77777777" w:rsidR="00A8053A" w:rsidRDefault="00AA6247">
      <w:pPr>
        <w:spacing w:line="340" w:lineRule="exact"/>
        <w:ind w:firstLineChars="200" w:firstLine="436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考生只可从“南安一中”、“国光中学”、“华侨中学”、“首都师范大学附属昌财实验</w:t>
      </w:r>
    </w:p>
    <w:p w14:paraId="3D5E53B1" w14:textId="77777777" w:rsidR="00A8053A" w:rsidRDefault="00AA6247">
      <w:pPr>
        <w:spacing w:line="340" w:lineRule="exact"/>
        <w:ind w:firstLineChars="300" w:firstLine="654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中学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中选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填其中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一个，填写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个及以上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志愿无效。</w:t>
      </w:r>
    </w:p>
    <w:p w14:paraId="66BD8138" w14:textId="77777777" w:rsidR="00A8053A" w:rsidRDefault="00A8053A">
      <w:pPr>
        <w:spacing w:line="340" w:lineRule="exac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sectPr w:rsidR="00A8053A">
          <w:footerReference w:type="even" r:id="rId10"/>
          <w:footerReference w:type="default" r:id="rId11"/>
          <w:footerReference w:type="first" r:id="rId12"/>
          <w:pgSz w:w="11906" w:h="16838"/>
          <w:pgMar w:top="1361" w:right="1361" w:bottom="1361" w:left="1361" w:header="851" w:footer="992" w:gutter="0"/>
          <w:pgNumType w:fmt="numberInDash"/>
          <w:cols w:space="720"/>
          <w:titlePg/>
          <w:docGrid w:type="lines" w:linePitch="312"/>
        </w:sectPr>
      </w:pPr>
    </w:p>
    <w:p w14:paraId="0F132BF8" w14:textId="77777777" w:rsidR="00A8053A" w:rsidRDefault="00A8053A">
      <w:pPr>
        <w:spacing w:line="580" w:lineRule="exact"/>
        <w:ind w:firstLine="480"/>
        <w:rPr>
          <w:rFonts w:ascii="仿宋_GB2312" w:eastAsia="仿宋_GB2312" w:hAnsi="仿宋_GB2312" w:cs="仿宋_GB2312"/>
          <w:color w:val="000000" w:themeColor="text1"/>
          <w:spacing w:val="-6"/>
          <w:kern w:val="0"/>
          <w:sz w:val="32"/>
          <w:szCs w:val="32"/>
        </w:rPr>
      </w:pPr>
    </w:p>
    <w:sectPr w:rsidR="00A8053A">
      <w:footerReference w:type="default" r:id="rId13"/>
      <w:pgSz w:w="11906" w:h="16838"/>
      <w:pgMar w:top="1332" w:right="1701" w:bottom="1332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27B" w14:textId="77777777" w:rsidR="00AA6247" w:rsidRDefault="00AA6247">
      <w:r>
        <w:separator/>
      </w:r>
    </w:p>
  </w:endnote>
  <w:endnote w:type="continuationSeparator" w:id="0">
    <w:p w14:paraId="74C7D59D" w14:textId="77777777" w:rsidR="00AA6247" w:rsidRDefault="00AA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07EF" w14:textId="77777777" w:rsidR="00A8053A" w:rsidRDefault="00AA6247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0022CF9" w14:textId="77777777" w:rsidR="00A8053A" w:rsidRDefault="00A8053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3608" w14:textId="77777777" w:rsidR="00A8053A" w:rsidRDefault="00AA624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8B3B6D" wp14:editId="3973A7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B6AC1" w14:textId="77777777" w:rsidR="00A8053A" w:rsidRDefault="00AA6247">
                          <w:pPr>
                            <w:pStyle w:val="a4"/>
                            <w:rPr>
                              <w:rStyle w:val="a8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B3B6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E5B6AC1" w14:textId="77777777" w:rsidR="00A8053A" w:rsidRDefault="00AA6247">
                    <w:pPr>
                      <w:pStyle w:val="a4"/>
                      <w:rPr>
                        <w:rStyle w:val="a8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8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8"/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EDB0" w14:textId="77777777" w:rsidR="00A8053A" w:rsidRDefault="00AA62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DC917D" wp14:editId="3CC634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FF0EF" w14:textId="77777777" w:rsidR="00A8053A" w:rsidRDefault="00AA6247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C917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1BCFF0EF" w14:textId="77777777" w:rsidR="00A8053A" w:rsidRDefault="00AA6247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53EF" w14:textId="77777777" w:rsidR="00A8053A" w:rsidRDefault="00AA624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EDB1C" wp14:editId="0CB877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20C0A" w14:textId="77777777" w:rsidR="00A8053A" w:rsidRDefault="00AA624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EDB1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0320C0A" w14:textId="77777777" w:rsidR="00A8053A" w:rsidRDefault="00AA6247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1CD8" w14:textId="77777777" w:rsidR="00AA6247" w:rsidRDefault="00AA6247">
      <w:r>
        <w:separator/>
      </w:r>
    </w:p>
  </w:footnote>
  <w:footnote w:type="continuationSeparator" w:id="0">
    <w:p w14:paraId="4EFE9E2F" w14:textId="77777777" w:rsidR="00AA6247" w:rsidRDefault="00AA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821F"/>
    <w:multiLevelType w:val="singleLevel"/>
    <w:tmpl w:val="6863821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495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llNWU0YTJmMTY1ZTQwZjJiZjFmNzNjNTYxZTM3MGIifQ=="/>
  </w:docVars>
  <w:rsids>
    <w:rsidRoot w:val="00A8053A"/>
    <w:rsid w:val="006A6DBB"/>
    <w:rsid w:val="00A8053A"/>
    <w:rsid w:val="00A8279A"/>
    <w:rsid w:val="00AA6247"/>
    <w:rsid w:val="0115664F"/>
    <w:rsid w:val="034824C8"/>
    <w:rsid w:val="040763E0"/>
    <w:rsid w:val="0A3D5C6E"/>
    <w:rsid w:val="0DAF160D"/>
    <w:rsid w:val="0EBC14CF"/>
    <w:rsid w:val="11427949"/>
    <w:rsid w:val="12751FBA"/>
    <w:rsid w:val="163671EE"/>
    <w:rsid w:val="18BC5D1E"/>
    <w:rsid w:val="1C37710F"/>
    <w:rsid w:val="1F74219C"/>
    <w:rsid w:val="22E70030"/>
    <w:rsid w:val="2302001E"/>
    <w:rsid w:val="2455408B"/>
    <w:rsid w:val="2A5C1303"/>
    <w:rsid w:val="2C6B1CD2"/>
    <w:rsid w:val="2DF5222B"/>
    <w:rsid w:val="2F9D69AC"/>
    <w:rsid w:val="320A6709"/>
    <w:rsid w:val="33053497"/>
    <w:rsid w:val="34242774"/>
    <w:rsid w:val="352B4654"/>
    <w:rsid w:val="39AF01D9"/>
    <w:rsid w:val="3B764009"/>
    <w:rsid w:val="3E4D6D70"/>
    <w:rsid w:val="3EB23790"/>
    <w:rsid w:val="3EC33C3E"/>
    <w:rsid w:val="46BE3064"/>
    <w:rsid w:val="501878E1"/>
    <w:rsid w:val="50866FD3"/>
    <w:rsid w:val="5266633B"/>
    <w:rsid w:val="540330EC"/>
    <w:rsid w:val="54497D6E"/>
    <w:rsid w:val="57D43B36"/>
    <w:rsid w:val="582D656B"/>
    <w:rsid w:val="5B4B5FC2"/>
    <w:rsid w:val="5D33058C"/>
    <w:rsid w:val="5E421FE3"/>
    <w:rsid w:val="5FE52D05"/>
    <w:rsid w:val="5FEF49B4"/>
    <w:rsid w:val="61D00821"/>
    <w:rsid w:val="641C4F5C"/>
    <w:rsid w:val="66715766"/>
    <w:rsid w:val="67943DCE"/>
    <w:rsid w:val="6EB83BFB"/>
    <w:rsid w:val="76597D0A"/>
    <w:rsid w:val="7CD60940"/>
    <w:rsid w:val="7CDA1DD4"/>
    <w:rsid w:val="7D334106"/>
    <w:rsid w:val="7E7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92E024"/>
  <w15:docId w15:val="{731777A8-118F-4C3B-80D2-F5544BAB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zxt.qzedu.cn&#65289;&#22635;&#25253;&#25552;&#21069;&#25209;&#24535;&#24895;&#65292;&#19988;&#22635;&#25253;&#25105;&#26657;&#23398;&#31185;&#31867;&#33258;&#20027;&#25307;&#29983;&#30340;&#32771;&#29983;&#21482;&#33021;&#25253;&#32771;&#8220;&#39318;&#37117;&#24072;&#33539;&#22823;&#23398;&#38468;&#23646;&#26124;&#36130;&#23454;&#39564;&#20013;&#23398;&#8221;&#65292;&#19981;&#21487;&#20197;&#20860;&#25253;&#20854;&#20182;&#23398;&#26657;&#65292;&#20063;&#19981;&#33021;&#20860;&#25253;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先垠</cp:lastModifiedBy>
  <cp:revision>2</cp:revision>
  <cp:lastPrinted>2021-02-26T13:51:00Z</cp:lastPrinted>
  <dcterms:created xsi:type="dcterms:W3CDTF">2022-05-24T02:36:00Z</dcterms:created>
  <dcterms:modified xsi:type="dcterms:W3CDTF">2022-05-24T02:36:00Z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E6DA9FC40EB14640A10384BFE0F3B2C1</vt:lpwstr>
  </property>
</Properties>
</file>