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无违法犯罪记录情况个人承诺书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spacing w:line="560" w:lineRule="exact"/>
        <w:ind w:firstLine="7680" w:firstLineChars="24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840" w:rightChars="40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</w:t>
      </w:r>
    </w:p>
    <w:p>
      <w:pPr>
        <w:spacing w:line="560" w:lineRule="exact"/>
        <w:ind w:right="840" w:rightChars="40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</w:t>
      </w: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spacing w:line="540" w:lineRule="exact"/>
        <w:jc w:val="left"/>
        <w:rPr>
          <w:rFonts w:ascii="仿宋_GB2312" w:hAnsi="微软雅黑" w:eastAsia="仿宋_GB2312" w:cs="宋体"/>
          <w:kern w:val="0"/>
          <w:sz w:val="24"/>
          <w:shd w:val="clear" w:color="auto" w:fill="FFFFFF"/>
        </w:rPr>
      </w:pPr>
    </w:p>
    <w:p>
      <w:pPr>
        <w:bidi w:val="0"/>
        <w:jc w:val="left"/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B10FE"/>
    <w:rsid w:val="356B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2020-07-20T06:51:00Z</dcterms:created>
  <dc:creator>思思</dc:creator>
  <cp:lastModifiedBy>思思</cp:lastModifiedBy>
  <dcterms:modified xsi:type="dcterms:W3CDTF">2020-07-20T06:52:16Z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