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31"/>
          <w:szCs w:val="31"/>
          <w:bdr w:val="none" w:color="auto" w:sz="0" w:space="0"/>
          <w:shd w:val="clear" w:fill="FFFFFF"/>
        </w:rPr>
        <w:t>武汉市育才高级中学体育后备人才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31"/>
          <w:szCs w:val="31"/>
          <w:bdr w:val="none" w:color="auto" w:sz="0" w:space="0"/>
          <w:shd w:val="clear" w:fill="FFFFFF"/>
        </w:rPr>
        <w:t>考试方法与评分标准</w:t>
      </w:r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31"/>
          <w:szCs w:val="31"/>
          <w:bdr w:val="none" w:color="auto" w:sz="0" w:space="0"/>
          <w:shd w:val="clear" w:fill="FFFFFF"/>
        </w:rPr>
        <w:t>  足球（女）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31"/>
          <w:szCs w:val="31"/>
          <w:bdr w:val="none" w:color="auto" w:sz="0" w:space="0"/>
          <w:shd w:val="clear" w:fill="FFFFFF"/>
        </w:rPr>
        <w:t>(非守门员)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一、</w:t>
      </w: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考核指标与所占分值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76875" cy="1238250"/>
            <wp:effectExtent l="0" t="0" r="9525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二、</w:t>
      </w: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测试方法与评分标准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（一）专项素质：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×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25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米折返跑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ascii="Times New Roman" w:hAnsi="Times New Roman" w:eastAsia="Microsoft YaHei UI" w:cs="Times New Roman"/>
          <w:i w:val="0"/>
          <w:caps w:val="0"/>
          <w:color w:val="222222"/>
          <w:spacing w:val="8"/>
          <w:sz w:val="13"/>
          <w:szCs w:val="13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考试方法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考生从起跑线向场内垂直方向快跑，在跑动中依次用手击倒位于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米、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米、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15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米、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米和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25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米各处的标志物后返回起跑线，要求每击倒一个标志物须立即返回一次，再跑到下一个标志物，以此类推。考生应以站立式起跑，脚动开表，完成所有折返距离回到起跑线时停表，记录完成的时间。未击倒标志物，成绩无效。每人测试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default" w:ascii="Times New Roman" w:hAnsi="Times New Roman" w:eastAsia="Microsoft YaHei UI" w:cs="Times New Roman"/>
          <w:i w:val="0"/>
          <w:caps w:val="0"/>
          <w:color w:val="222222"/>
          <w:spacing w:val="8"/>
          <w:sz w:val="13"/>
          <w:szCs w:val="13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评分标准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 5</w:t>
      </w: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×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25</w:t>
      </w: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米评分表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124575" cy="3667125"/>
            <wp:effectExtent l="0" t="0" r="9525" b="952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hint="default" w:ascii="Times New Roman" w:hAnsi="Times New Roman" w:eastAsia="Microsoft YaHei UI" w:cs="Times New Roman"/>
          <w:i w:val="0"/>
          <w:caps w:val="0"/>
          <w:color w:val="222222"/>
          <w:spacing w:val="8"/>
          <w:sz w:val="13"/>
          <w:szCs w:val="13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传准</w:t>
      </w: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（二）专项技术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(1)考试方法:如图1所示，传球目标区域由一个室内五人制足球门(球门净宽度3米，净高度2米)和以球门线为直径(3米)画的半圆组成，圆心(球门线中心点)至起点线垂直距离为23米。考生须将球置于起点线上(线长5米，宽0.1米)，向目标区域连续传球7次，左右脚均可，脚法不限。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590675" cy="2352675"/>
            <wp:effectExtent l="0" t="0" r="952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    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图1传准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629025" cy="2771775"/>
            <wp:effectExtent l="0" t="0" r="9525" b="9525"/>
            <wp:docPr id="1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）评分标准：以球起点线踢出后，从空中落到地面的第一接触点为准。考生每将球传入目标区域的半圆内（含第一落点在圆周线上），或五人制球门（含击中球门横梁或立柱弹出）即可得分。踢中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次即为满分，满分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default" w:ascii="Times New Roman" w:hAnsi="Times New Roman" w:eastAsia="Microsoft YaHei UI" w:cs="Times New Roman"/>
          <w:i w:val="0"/>
          <w:caps w:val="0"/>
          <w:color w:val="222222"/>
          <w:spacing w:val="8"/>
          <w:sz w:val="13"/>
          <w:szCs w:val="13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运球射门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考试方法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如图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2-2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所示，从罚球区线中点垂直向场内，画一条平行于球门线的横线作为起点线（起点线距第一根标志杆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米）。距罚球区线中点处，垂直沿场内每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1.5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米处摆放一个标志杆，以此类推，共计摆放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个标志杆。考生将球置于起点线标志杆正后方上，运球依次绕过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根标志杆后起脚射门，球动开表，当球从空中或地面越过球门线时停表，记录完成的时间。凡出现漏杆、射门偏出球门，球击中横梁或立柱弹出，均属无效，不计成绩。每人测试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次，取最好成绩。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943350" cy="2047875"/>
            <wp:effectExtent l="0" t="0" r="0" b="9525"/>
            <wp:docPr id="9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图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运射场地图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）评分标准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运球射门评分表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6115050" cy="3667125"/>
            <wp:effectExtent l="0" t="0" r="0" b="9525"/>
            <wp:docPr id="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实战能力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）考试方法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视考生人数分队进行比赛。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）评分标准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考评员参照实战能力评分细则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表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2-3)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，独立对考生的技术能力、战术能力、心理素质以及比赛作风等方面进行综合评定。采用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分制评分，分数至多可到小数点后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足球实战能力评分细则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915025" cy="3213100"/>
            <wp:effectExtent l="0" t="0" r="9525" b="635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31"/>
          <w:szCs w:val="31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31"/>
          <w:szCs w:val="31"/>
          <w:bdr w:val="none" w:color="auto" w:sz="0" w:space="0"/>
          <w:shd w:val="clear" w:fill="FFFFFF"/>
        </w:rPr>
        <w:t>(守门员)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一、考核指标与所占分值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782310" cy="708025"/>
            <wp:effectExtent l="0" t="0" r="8890" b="15875"/>
            <wp:docPr id="1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二、考试方法与评分标准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（一）专项素质：立定跳远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.考试方法:考生原地双脚站立在起跳线后，起跳时不能触及或超越起跳线，原地起跳，双脚落地完成动作后，起身向前走出测试区。成绩测量时，从身体落地痕迹的最近点取直线量至起跳线内沿。每人测试2次，取最好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838825" cy="3219450"/>
            <wp:effectExtent l="0" t="0" r="9525" b="0"/>
            <wp:docPr id="13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（二）专项技术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 1.掷球与踢远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(1)考试方法:如图3所示，在球场以大禁区线的宽度作为掷远与踢远的宽度，再从宽度的两端分别向场内垂直画两条60米以上平行直线作为测试区纵长，标出距离数。考生站在起点线后，原地或助跑均可以，将球以手掷远2次然后用脚踢远2次(采用踢凌空球、反弹球、定位球等方法不限)，出球前身体的任何部位都不能过起点线，出球后可以过线，各取其中最好的一次成绩相加为最终成绩。每次掷球的落点必须在测试区横宽以内，否则不计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2095500" cy="1619250"/>
            <wp:effectExtent l="0" t="0" r="0" b="0"/>
            <wp:docPr id="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图3  掷球与踢远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171950" cy="2505075"/>
            <wp:effectExtent l="0" t="0" r="0" b="9525"/>
            <wp:docPr id="4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2.扑接球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  (1)考试方法:如图4所示，考生守门，扑接 6个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2809875" cy="2085975"/>
            <wp:effectExtent l="0" t="0" r="9525" b="9525"/>
            <wp:docPr id="8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图4扑接球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(左右两侧各3次)来自罚球弧线外射中球门的有效射门球(含地滚球、半高球、高球以及需要倒地扑救的球)。考生运用技术动作(接高球、拳击球、托球)出击接4个(左右两侧各2次)。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  (2)评分标准:考评员参照扑接球评分细则，独立对考生进行技术技能评定。采用10分制评分，分数至多可到小数点后1位。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扑街球评分表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6286500" cy="1824355"/>
            <wp:effectExtent l="0" t="0" r="0" b="4445"/>
            <wp:docPr id="12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（三）实战能力：比赛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1.考试方法:视考生人数分队进行比赛。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2.评分标准:考评员参照实战能力评分细则，独立对考生的技术能力、战术能力、心理素质以及比赛作风等方面进行综合评定。采用10分制评分，分数至多可到小数点后1位。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8"/>
          <w:sz w:val="16"/>
          <w:szCs w:val="16"/>
          <w:bdr w:val="none" w:color="auto" w:sz="0" w:space="0"/>
          <w:shd w:val="clear" w:fill="FFFFFF"/>
        </w:rPr>
        <w:t>                              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足球实战能力评分细则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524500" cy="1950085"/>
            <wp:effectExtent l="0" t="0" r="0" b="12065"/>
            <wp:docPr id="10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96DF0"/>
    <w:rsid w:val="3FC9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2022-04-13T09:37:00Z</dcterms:created>
  <dc:creator>Administrator</dc:creator>
  <cp:lastModifiedBy>Administrator</cp:lastModifiedBy>
  <dcterms:modified xsi:type="dcterms:W3CDTF">2022-04-13T09:38:57Z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