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/>
        </w:rPr>
      </w:pPr>
      <w:r>
        <w:rPr>
          <w:rFonts w:ascii="Times New Roman" w:hAnsi="Times New Roman"/>
        </w:rPr>
        <w:t>附件1</w:t>
      </w:r>
    </w:p>
    <w:p>
      <w:pPr>
        <w:spacing w:line="59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_GBK"/>
          <w:sz w:val="44"/>
          <w:szCs w:val="44"/>
        </w:rPr>
        <w:t>无锡市消防救援支队2022年一季度政府专职消防队员</w:t>
      </w:r>
      <w:bookmarkStart w:id="0" w:name="_GoBack"/>
      <w:r>
        <w:rPr>
          <w:rFonts w:ascii="Times New Roman" w:hAnsi="Times New Roman" w:eastAsia="方正小标宋_GBK"/>
          <w:sz w:val="44"/>
          <w:szCs w:val="44"/>
        </w:rPr>
        <w:t>招聘岗位表</w:t>
      </w:r>
    </w:p>
    <w:bookmarkEnd w:id="0"/>
    <w:tbl>
      <w:tblPr>
        <w:tblStyle w:val="2"/>
        <w:tblW w:w="470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54"/>
        <w:gridCol w:w="1376"/>
        <w:gridCol w:w="1603"/>
        <w:gridCol w:w="2259"/>
        <w:gridCol w:w="3932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战斗员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80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高中及同等学历以上文化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（包含高中）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18周岁以上，26周岁以下（出生时间为1996年1月1日至2004年1月1日）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实行准军事化管理，工作时执行24小时驻勤制。实行月休假（每月休息8天）或45天年假，其中一种休息方式。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1、负责本单位消防宣传培训、防火巡查和灭火培训；                                  2、参加危险化学品泄漏事故、建筑物倒塌事故、交通事故等抢救救援工作，积极抢救被困人员，排除险情；                                          3、接受辖区消防机构的调度指挥，参与其他地区、单位的灭火救援。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1、身高165厘米以上；                  2、有服役经历、消防救援队伍退出或大学本科以上学历的可放宽至28周岁（1994年1月1日以后出生）；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驾驶员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40</w:t>
            </w:r>
          </w:p>
        </w:tc>
        <w:tc>
          <w:tcPr>
            <w:tcW w:w="5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18周岁以上，35周岁以下（出生时间为1987年1月1日至2004年1月1日）</w:t>
            </w: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</w:p>
        </w:tc>
        <w:tc>
          <w:tcPr>
            <w:tcW w:w="1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1、维护保养好消防车泵浦，保证水、油、电、气充足，车辆完整好用；                            2、熟悉责任区交通道路，消防水源；             3、出车归队后，及时对消防车进行检查保养，发现故障迅速排除；                                4、积极参加消防业务知识和技能培训，做好各项执勤备战工作。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1、身高165厘米以上，持准驾B2类及以上有效驾驶证；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F0CE5"/>
    <w:rsid w:val="0F60168D"/>
    <w:rsid w:val="FBE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2022-01-19T10:21:00Z</dcterms:created>
  <dc:creator>dongchen</dc:creator>
  <cp:lastModifiedBy>孤劍東風不御</cp:lastModifiedBy>
  <dcterms:modified xsi:type="dcterms:W3CDTF">2022-01-27T02:47:43Z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49AE303E5CDB4A0A9F3F333FE59BD987</vt:lpwstr>
  </property>
</Properties>
</file>