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jc w:val="center"/>
        <w:rPr>
          <w:rFonts w:hint="default" w:ascii="Arial" w:hAnsi="Arial" w:cs="Arial"/>
          <w:b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5A5A5A"/>
          <w:spacing w:val="0"/>
          <w:sz w:val="44"/>
          <w:szCs w:val="44"/>
        </w:rPr>
      </w:pPr>
      <w:r>
        <w:rPr>
          <w:rFonts w:hint="default" w:ascii="Arial" w:hAnsi="Arial" w:cs="Arial"/>
          <w:b/>
          <w:i w:val="0"/>
          <w:caps w:val="0"/>
          <w:color w:val="5A5A5A"/>
          <w:spacing w:val="0"/>
          <w:sz w:val="44"/>
          <w:szCs w:val="44"/>
          <w:bdr w:val="none" w:color="auto" w:sz="0" w:space="0"/>
          <w:shd w:val="clear" w:fill="FFFFFF"/>
        </w:rPr>
        <w:t>仲裁申请书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（申请人为劳动者用）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申请人：          出生：         性别： 民族：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身份证地址：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现居住地址：                         联系电话：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确认有效的送达地址：                     邮政编码：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被申请人：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法定代表人：                   职务：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住所：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联系电话：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第三人：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法定代表人：                      职务：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住所：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联系电话：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仲裁请求：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1、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2、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3、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4、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事实和理由：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 此致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        ***劳动争议仲裁委员会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附：仲裁申请书副本   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jc w:val="right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申请人：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jc w:val="right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二○   年   月   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注：1．本申请书供提起劳动争议仲裁用，用钢笔或毛笔书写。</w:t>
      </w: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2．仲裁申请书具有明确的申请请求。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3.仲裁申请书事实理由部分应写劳动关系的建立过程（包含劳动合同签订情况等与争议相关事</w:t>
      </w:r>
      <w:bookmarkStart w:id="0" w:name="_GoBack"/>
      <w:bookmarkEnd w:id="0"/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项）以及劳动争议发生相关事实情节、申请请求的法律依据。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4.申请书副本份数 应按被申请人的人数提交。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t>5、申请人变更通讯地址的应及时通知仲裁庭，否则仲裁庭按原通讯地址邮寄视为送达。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Arial" w:hAnsi="Arial" w:cs="Arial"/>
          <w:b w:val="0"/>
          <w:i w:val="0"/>
          <w:caps w:val="0"/>
          <w:color w:val="5A5A5A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94FB4"/>
    <w:rsid w:val="70E94F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2016-05-12T13:34:00Z</dcterms:created>
  <dc:creator>Administrator</dc:creator>
  <cp:lastModifiedBy>Administrator</cp:lastModifiedBy>
  <dcterms:modified xsi:type="dcterms:W3CDTF">2016-05-12T13:36:02Z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