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5F2FB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80" w:lineRule="exact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  <w:lang w:val="en-US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</w:rPr>
        <w:t>附件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  <w:lang w:val="en-US" w:eastAsia="zh-CN"/>
        </w:rPr>
        <w:t>3</w:t>
      </w:r>
    </w:p>
    <w:p w14:paraId="788C33B3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line="580" w:lineRule="exact"/>
        <w:ind w:left="2006" w:firstLine="940" w:firstLineChars="300"/>
        <w:jc w:val="both"/>
        <w:textAlignment w:val="baseline"/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6"/>
          <w:kern w:val="0"/>
          <w:sz w:val="30"/>
          <w:szCs w:val="30"/>
          <w:highlight w:val="none"/>
          <w:u w:val="none" w:color="auto"/>
          <w:lang w:val="en-US" w:eastAsia="zh-CN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snapToGrid w:val="0"/>
          <w:color w:val="000000"/>
          <w:spacing w:val="6"/>
          <w:kern w:val="0"/>
          <w:sz w:val="30"/>
          <w:szCs w:val="30"/>
          <w:highlight w:val="none"/>
          <w:u w:val="none" w:color="auto"/>
          <w:lang w:val="en-US" w:eastAsia="zh-CN"/>
        </w:rPr>
        <w:t>深圳创新高级中学</w:t>
      </w:r>
    </w:p>
    <w:p w14:paraId="688ED571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80" w:lineRule="exact"/>
        <w:ind w:firstLine="1800" w:firstLineChars="600"/>
        <w:jc w:val="both"/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</w:rPr>
        <w:t>202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color w:val="000000"/>
          <w:sz w:val="30"/>
          <w:szCs w:val="30"/>
          <w:highlight w:val="none"/>
          <w:u w:val="none" w:color="auto"/>
        </w:rPr>
        <w:t>年二类自主招生绘画专项考核要求</w:t>
      </w:r>
      <w:bookmarkEnd w:id="0"/>
    </w:p>
    <w:p w14:paraId="45EB818D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  <w:t>一、考核时间：</w:t>
      </w:r>
      <w:r>
        <w:rPr>
          <w:rFonts w:hint="eastAsia" w:ascii="方正仿宋_GB2312" w:hAnsi="方正仿宋_GB2312" w:eastAsia="方正仿宋_GB2312" w:cs="方正仿宋_GB2312"/>
          <w:bCs/>
          <w:color w:val="000000"/>
          <w:sz w:val="30"/>
          <w:szCs w:val="30"/>
          <w:highlight w:val="none"/>
          <w:lang w:val="en-US" w:eastAsia="zh-CN"/>
        </w:rPr>
        <w:t>2026年7月 4日</w:t>
      </w:r>
    </w:p>
    <w:p w14:paraId="0A145BE5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  <w:t>二、考核地点及考场安排</w:t>
      </w:r>
    </w:p>
    <w:p w14:paraId="4005955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0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Cs/>
          <w:color w:val="000000"/>
          <w:sz w:val="30"/>
          <w:szCs w:val="30"/>
          <w:highlight w:val="none"/>
          <w:lang w:val="en-US" w:eastAsia="zh-CN"/>
        </w:rPr>
        <w:t>地点：深圳市第二职业技术学校启智楼一楼画室。</w:t>
      </w:r>
    </w:p>
    <w:p w14:paraId="411209E3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  <w:t>三、考核内容</w:t>
      </w:r>
    </w:p>
    <w:p w14:paraId="31F743F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00" w:firstLineChars="200"/>
        <w:textAlignment w:val="baseline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1.素描：静物写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生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或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静物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照片写生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，考核时限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120分钟。</w:t>
      </w:r>
    </w:p>
    <w:p w14:paraId="79D92A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00" w:firstLineChars="200"/>
        <w:textAlignment w:val="baseline"/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2.色彩：静物写生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或静物照片写生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，考核时限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120分钟。</w:t>
      </w:r>
    </w:p>
    <w:p w14:paraId="6A9A2E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left="638" w:leftChars="304" w:firstLine="0" w:firstLineChars="0"/>
        <w:textAlignment w:val="baseline"/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3.速写：人物写生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  <w:lang w:val="en-US" w:eastAsia="zh-CN"/>
        </w:rPr>
        <w:t>或人物照片写生</w:t>
      </w:r>
      <w:r>
        <w:rPr>
          <w:rFonts w:hint="eastAsia" w:ascii="方正仿宋_GB2312" w:hAnsi="方正仿宋_GB2312" w:eastAsia="方正仿宋_GB2312" w:cs="方正仿宋_GB2312"/>
          <w:color w:val="auto"/>
          <w:sz w:val="30"/>
          <w:szCs w:val="30"/>
        </w:rPr>
        <w:t>，考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核时限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val="en-US" w:eastAsia="zh-CN"/>
        </w:rPr>
        <w:t>30</w:t>
      </w:r>
      <w:r>
        <w:rPr>
          <w:rFonts w:hint="eastAsia" w:ascii="方正仿宋_GB2312" w:hAnsi="方正仿宋_GB2312" w:eastAsia="方正仿宋_GB2312" w:cs="方正仿宋_GB2312"/>
          <w:sz w:val="30"/>
          <w:szCs w:val="30"/>
        </w:rPr>
        <w:t>分钟</w:t>
      </w:r>
      <w:r>
        <w:rPr>
          <w:rFonts w:hint="eastAsia" w:ascii="方正仿宋_GB2312" w:hAnsi="方正仿宋_GB2312" w:eastAsia="方正仿宋_GB2312" w:cs="方正仿宋_GB2312"/>
          <w:sz w:val="30"/>
          <w:szCs w:val="30"/>
          <w:lang w:eastAsia="zh-CN"/>
        </w:rPr>
        <w:t>。</w:t>
      </w:r>
    </w:p>
    <w:p w14:paraId="7766B05A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30"/>
          <w:szCs w:val="30"/>
          <w:highlight w:val="none"/>
          <w:lang w:val="en-US" w:eastAsia="zh-CN"/>
        </w:rPr>
        <w:t>四、评分标准</w:t>
      </w:r>
    </w:p>
    <w:p w14:paraId="13907DC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80" w:lineRule="exact"/>
        <w:ind w:firstLine="600" w:firstLineChars="200"/>
        <w:textAlignment w:val="baseline"/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0"/>
          <w:szCs w:val="30"/>
          <w:lang w:val="en-US" w:eastAsia="en-US" w:bidi="ar-SA"/>
        </w:rPr>
      </w:pP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0"/>
          <w:szCs w:val="30"/>
          <w:lang w:val="en-US" w:eastAsia="en-US" w:bidi="ar-SA"/>
        </w:rPr>
        <w:t>注重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0"/>
          <w:szCs w:val="30"/>
          <w:lang w:val="en-US" w:eastAsia="zh-CN" w:bidi="ar-SA"/>
        </w:rPr>
        <w:t>考察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0"/>
          <w:szCs w:val="30"/>
          <w:lang w:val="en-US" w:eastAsia="en-US" w:bidi="ar-SA"/>
        </w:rPr>
        <w:t>绘画类考生的观察力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0"/>
          <w:szCs w:val="30"/>
          <w:lang w:val="en-US" w:eastAsia="zh-CN" w:bidi="ar-SA"/>
        </w:rPr>
        <w:t>与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0"/>
          <w:szCs w:val="30"/>
          <w:lang w:val="en-US" w:eastAsia="en-US" w:bidi="ar-SA"/>
        </w:rPr>
        <w:t>表现力，</w:t>
      </w:r>
      <w:r>
        <w:rPr>
          <w:rFonts w:hint="eastAsia" w:ascii="方正仿宋_GB2312" w:hAnsi="方正仿宋_GB2312" w:eastAsia="方正仿宋_GB2312" w:cs="方正仿宋_GB2312"/>
          <w:snapToGrid w:val="0"/>
          <w:color w:val="000000"/>
          <w:kern w:val="0"/>
          <w:sz w:val="30"/>
          <w:szCs w:val="30"/>
          <w:lang w:val="en-US" w:eastAsia="zh-CN" w:bidi="ar-SA"/>
        </w:rPr>
        <w:t>以及其</w:t>
      </w:r>
      <w:r>
        <w:rPr>
          <w:rFonts w:hint="eastAsia" w:ascii="方正仿宋_GB2312" w:hAnsi="方正仿宋_GB2312" w:eastAsia="方正仿宋_GB2312" w:cs="方正仿宋_GB2312"/>
          <w:snapToGrid w:val="0"/>
          <w:color w:val="auto"/>
          <w:kern w:val="0"/>
          <w:sz w:val="30"/>
          <w:szCs w:val="30"/>
          <w:lang w:val="en-US" w:eastAsia="zh-CN" w:bidi="ar-SA"/>
        </w:rPr>
        <w:t>审美能力、造型能力、创作能力和基本艺术素养。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997"/>
        <w:gridCol w:w="4443"/>
        <w:gridCol w:w="2258"/>
      </w:tblGrid>
      <w:tr w14:paraId="5D0689BF">
        <w:tc>
          <w:tcPr>
            <w:tcW w:w="824" w:type="dxa"/>
            <w:noWrap w:val="0"/>
            <w:vAlign w:val="center"/>
          </w:tcPr>
          <w:p w14:paraId="5FBFDB5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内容</w:t>
            </w:r>
          </w:p>
        </w:tc>
        <w:tc>
          <w:tcPr>
            <w:tcW w:w="997" w:type="dxa"/>
            <w:noWrap w:val="0"/>
            <w:vAlign w:val="center"/>
          </w:tcPr>
          <w:p w14:paraId="3676F83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分值</w:t>
            </w:r>
          </w:p>
        </w:tc>
        <w:tc>
          <w:tcPr>
            <w:tcW w:w="4443" w:type="dxa"/>
            <w:noWrap w:val="0"/>
            <w:vAlign w:val="center"/>
          </w:tcPr>
          <w:p w14:paraId="068A8EA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评分标准</w:t>
            </w:r>
          </w:p>
        </w:tc>
        <w:tc>
          <w:tcPr>
            <w:tcW w:w="2258" w:type="dxa"/>
            <w:noWrap w:val="0"/>
            <w:vAlign w:val="center"/>
          </w:tcPr>
          <w:p w14:paraId="6B74857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评分办法</w:t>
            </w:r>
          </w:p>
        </w:tc>
      </w:tr>
      <w:tr w14:paraId="1BBAB4FC">
        <w:tc>
          <w:tcPr>
            <w:tcW w:w="824" w:type="dxa"/>
            <w:noWrap w:val="0"/>
            <w:vAlign w:val="top"/>
          </w:tcPr>
          <w:p w14:paraId="4982811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169522B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32C92D5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731FD62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665A90B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7CB0509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素描</w:t>
            </w:r>
          </w:p>
        </w:tc>
        <w:tc>
          <w:tcPr>
            <w:tcW w:w="997" w:type="dxa"/>
            <w:noWrap w:val="0"/>
            <w:vAlign w:val="top"/>
          </w:tcPr>
          <w:p w14:paraId="59AED81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100</w:t>
            </w:r>
          </w:p>
        </w:tc>
        <w:tc>
          <w:tcPr>
            <w:tcW w:w="4443" w:type="dxa"/>
            <w:noWrap w:val="0"/>
            <w:vAlign w:val="top"/>
          </w:tcPr>
          <w:p w14:paraId="267D2D5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A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90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–100分）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构图完整合理，比例透视、形体结构准确，刻画深入且重点突出，明暗层次过渡自然、体积与空间表现准确，画面完整度高、整体感强，富有艺术表现力。</w:t>
            </w:r>
          </w:p>
          <w:p w14:paraId="0C8DC0A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B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80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89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构图完整，比例透视、形体结构准确无明显偏差，刻画较深入，明暗层次合理、体积与空间表现较准确，画面整体感良好，具有一定的艺术表现力。</w:t>
            </w:r>
          </w:p>
          <w:p w14:paraId="61FA2455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C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70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–7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构图基本完整，比例透视、形体结构基本准确，存在轻微偏差但不影响整体，刻画有一定深度，明暗层次基本合理，有一定的体积与空间表现力。</w:t>
            </w:r>
          </w:p>
          <w:p w14:paraId="34CB21AB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D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60—69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构图存在明显缺陷，比例透视、形体结构偏差明显，明暗层次混乱、体积与空间表现模糊，画面完整性不足、整体感差。</w:t>
            </w:r>
          </w:p>
          <w:p w14:paraId="1DFC54D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E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59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分及以下）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无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构图意识，比例透视、形体结构失衡，无合理明暗层次、无法体现体积与空间，画面整体感差，未达基本考核要求。</w:t>
            </w:r>
          </w:p>
        </w:tc>
        <w:tc>
          <w:tcPr>
            <w:tcW w:w="2258" w:type="dxa"/>
            <w:noWrap w:val="0"/>
            <w:vAlign w:val="top"/>
          </w:tcPr>
          <w:p w14:paraId="1CBD893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·构图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与审美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：15%</w:t>
            </w:r>
          </w:p>
          <w:p w14:paraId="5B40749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·结构与比例：30%</w:t>
            </w:r>
          </w:p>
          <w:p w14:paraId="6FD2D049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深入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刻画：30%</w:t>
            </w:r>
          </w:p>
          <w:p w14:paraId="66CF520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艺术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表现：25%</w:t>
            </w:r>
          </w:p>
          <w:p w14:paraId="42B43B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</w:pPr>
          </w:p>
          <w:p w14:paraId="1B813F6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参考以上比例，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依据考生考核实际的卷面表现给予评分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8"/>
                <w:sz w:val="30"/>
                <w:szCs w:val="30"/>
                <w:lang w:eastAsia="zh-CN"/>
              </w:rPr>
              <w:t>。</w:t>
            </w:r>
          </w:p>
        </w:tc>
      </w:tr>
      <w:tr w14:paraId="78413911">
        <w:tc>
          <w:tcPr>
            <w:tcW w:w="824" w:type="dxa"/>
            <w:noWrap w:val="0"/>
            <w:vAlign w:val="top"/>
          </w:tcPr>
          <w:p w14:paraId="0F2B1CC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25FA79F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576C1F3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3B6F8A0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2E54D55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4854696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色彩</w:t>
            </w:r>
          </w:p>
        </w:tc>
        <w:tc>
          <w:tcPr>
            <w:tcW w:w="997" w:type="dxa"/>
            <w:noWrap w:val="0"/>
            <w:vAlign w:val="top"/>
          </w:tcPr>
          <w:p w14:paraId="73179B3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100</w:t>
            </w:r>
          </w:p>
        </w:tc>
        <w:tc>
          <w:tcPr>
            <w:tcW w:w="4443" w:type="dxa"/>
            <w:noWrap w:val="0"/>
            <w:vAlign w:val="top"/>
          </w:tcPr>
          <w:p w14:paraId="0EBE8192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A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90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–100分）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构图完整合，造型严谨，色彩丰富、关系和谐，用笔灵动自然、技法运用娴熟，画面完整、整体感好，艺术表现力突出。</w:t>
            </w:r>
          </w:p>
          <w:p w14:paraId="1A0910F8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B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80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89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构图合理，造型完整无明显问题，色彩关系基本准确合理，笔法、技法运用得当，画面整体感良好，有一定的艺术表现力。</w:t>
            </w:r>
          </w:p>
          <w:p w14:paraId="1B7590D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C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70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–7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构图基本合理，造型基本完整，色彩关系单一，笔法、技法运用基本得当，画面整体感不足，艺术表现力一般。</w:t>
            </w:r>
          </w:p>
          <w:p w14:paraId="0F6D76F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D 档（6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69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构图不合理，造型不完整，色彩关系较混乱，笔法、技法运用不当，画面整体感弱。</w:t>
            </w:r>
          </w:p>
          <w:p w14:paraId="32897F8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E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59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分及以下）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无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构图意识，造型弱，色彩关系混乱，画面整体感差，未达基本考核要求。</w:t>
            </w:r>
          </w:p>
        </w:tc>
        <w:tc>
          <w:tcPr>
            <w:tcW w:w="2258" w:type="dxa"/>
            <w:noWrap w:val="0"/>
            <w:vAlign w:val="top"/>
          </w:tcPr>
          <w:p w14:paraId="33ECA964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·构图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与审美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：15%</w:t>
            </w:r>
          </w:p>
          <w:p w14:paraId="7F30EB9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·色彩关系（色调 / 冷暖/对比）：35%</w:t>
            </w:r>
          </w:p>
          <w:p w14:paraId="39D70956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·色彩造型（体积/空间/质感）：25%</w:t>
            </w:r>
          </w:p>
          <w:p w14:paraId="1B1421D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艺术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表现：25%</w:t>
            </w:r>
          </w:p>
          <w:p w14:paraId="1C55AC6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</w:pPr>
          </w:p>
          <w:p w14:paraId="0ACB963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参考以上比例，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依据考生考核实际的卷面表现给予评分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pacing w:val="8"/>
                <w:sz w:val="30"/>
                <w:szCs w:val="30"/>
                <w:lang w:eastAsia="zh-CN"/>
              </w:rPr>
              <w:t>。</w:t>
            </w:r>
          </w:p>
        </w:tc>
      </w:tr>
      <w:tr w14:paraId="092A7A6C">
        <w:tc>
          <w:tcPr>
            <w:tcW w:w="824" w:type="dxa"/>
            <w:noWrap w:val="0"/>
            <w:vAlign w:val="top"/>
          </w:tcPr>
          <w:p w14:paraId="13FE55B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2DA96C8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2640587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6372145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6385353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6D3BA34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4E3310F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速写</w:t>
            </w:r>
          </w:p>
        </w:tc>
        <w:tc>
          <w:tcPr>
            <w:tcW w:w="997" w:type="dxa"/>
            <w:noWrap w:val="0"/>
            <w:vAlign w:val="top"/>
          </w:tcPr>
          <w:p w14:paraId="2E2C77B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4AC72BA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250558B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0EDE3D5C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48E3C616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3E77AB7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</w:p>
          <w:p w14:paraId="5EB6826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50</w:t>
            </w:r>
          </w:p>
        </w:tc>
        <w:tc>
          <w:tcPr>
            <w:tcW w:w="4443" w:type="dxa"/>
            <w:noWrap w:val="0"/>
            <w:vAlign w:val="top"/>
          </w:tcPr>
          <w:p w14:paraId="036B2B7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A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45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50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形象鲜活、造型生动，比例动态准确、线条流畅、技法娴熟，画面整体感强。</w:t>
            </w:r>
          </w:p>
          <w:p w14:paraId="79FE1DD0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B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40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–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44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形象明确、造型准确，比例动态基本合理、线条较流畅、技法表现得当，画面整体感良好。</w:t>
            </w:r>
          </w:p>
          <w:p w14:paraId="3B7BE971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C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35-39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形象基本明确、造型基本合理，比例、动态存在偏差、线条生硬，画面整体感不足。</w:t>
            </w:r>
          </w:p>
          <w:p w14:paraId="3CDFF083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D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30-34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形象模糊、造型有明显问题，比例动态失衡，线条杂乱，画面整体感差。</w:t>
            </w:r>
          </w:p>
          <w:p w14:paraId="3B0941B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·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E 档（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  <w:lang w:val="en-US" w:eastAsia="zh-CN"/>
              </w:rPr>
              <w:t>29</w:t>
            </w:r>
            <w:r>
              <w:rPr>
                <w:rStyle w:val="8"/>
                <w:rFonts w:hint="eastAsia" w:ascii="方正仿宋_GB2312" w:hAnsi="方正仿宋_GB2312" w:eastAsia="方正仿宋_GB2312" w:cs="方正仿宋_GB2312"/>
                <w:b/>
                <w:bCs/>
                <w:color w:val="auto"/>
                <w:sz w:val="30"/>
                <w:szCs w:val="30"/>
              </w:rPr>
              <w:t>分及以下）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snapToGrid w:val="0"/>
                <w:color w:val="auto"/>
                <w:kern w:val="0"/>
                <w:sz w:val="30"/>
                <w:szCs w:val="30"/>
                <w:lang w:val="en-US" w:eastAsia="zh-CN" w:bidi="ar-SA"/>
              </w:rPr>
              <w:t>无形象意识、造型薄弱，无比例动态、形体、线条表达能力，未达基本考核要求。</w:t>
            </w:r>
          </w:p>
        </w:tc>
        <w:tc>
          <w:tcPr>
            <w:tcW w:w="2258" w:type="dxa"/>
            <w:noWrap w:val="0"/>
            <w:vAlign w:val="top"/>
          </w:tcPr>
          <w:p w14:paraId="01AE81B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·构图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与审美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：25%</w:t>
            </w:r>
          </w:p>
          <w:p w14:paraId="1F00056F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·人物动态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与线条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表现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eastAsia="zh-CN"/>
              </w:rPr>
              <w:t>：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30%</w:t>
            </w:r>
          </w:p>
          <w:p w14:paraId="0E0FB5DD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·造型与比例：30%</w:t>
            </w:r>
          </w:p>
          <w:p w14:paraId="462D0C0A"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beforeAutospacing="0" w:after="0" w:afterAutospacing="0" w:line="580" w:lineRule="exact"/>
              <w:ind w:left="0" w:right="0"/>
              <w:jc w:val="lef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·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  <w:t>艺术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</w:rPr>
              <w:t>表现：15%</w:t>
            </w:r>
          </w:p>
          <w:p w14:paraId="3089148B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b w:val="0"/>
                <w:bCs w:val="0"/>
                <w:color w:val="auto"/>
                <w:sz w:val="30"/>
                <w:szCs w:val="30"/>
                <w:lang w:val="en-US" w:eastAsia="zh-CN"/>
              </w:rPr>
            </w:pPr>
          </w:p>
          <w:p w14:paraId="7952962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参考以上比例，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</w:rPr>
              <w:t>依据考生考核实际的卷面表现给予评分</w:t>
            </w:r>
            <w:r>
              <w:rPr>
                <w:rFonts w:hint="eastAsia" w:ascii="方正仿宋_GB2312" w:hAnsi="方正仿宋_GB2312" w:eastAsia="方正仿宋_GB2312" w:cs="方正仿宋_GB2312"/>
                <w:color w:val="auto"/>
                <w:spacing w:val="8"/>
                <w:sz w:val="30"/>
                <w:szCs w:val="30"/>
                <w:lang w:eastAsia="zh-CN"/>
              </w:rPr>
              <w:t>。</w:t>
            </w:r>
          </w:p>
        </w:tc>
      </w:tr>
      <w:tr w14:paraId="1E15EB1E">
        <w:tc>
          <w:tcPr>
            <w:tcW w:w="824" w:type="dxa"/>
            <w:noWrap w:val="0"/>
            <w:vAlign w:val="top"/>
          </w:tcPr>
          <w:p w14:paraId="2C26B33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合计</w:t>
            </w:r>
          </w:p>
        </w:tc>
        <w:tc>
          <w:tcPr>
            <w:tcW w:w="997" w:type="dxa"/>
            <w:noWrap w:val="0"/>
            <w:vAlign w:val="top"/>
          </w:tcPr>
          <w:p w14:paraId="337CBB94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jc w:val="center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zh-CN"/>
              </w:rPr>
              <w:t>250</w:t>
            </w:r>
          </w:p>
        </w:tc>
        <w:tc>
          <w:tcPr>
            <w:tcW w:w="4443" w:type="dxa"/>
            <w:noWrap w:val="0"/>
            <w:vAlign w:val="top"/>
          </w:tcPr>
          <w:p w14:paraId="60F9BDEE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</w:p>
        </w:tc>
        <w:tc>
          <w:tcPr>
            <w:tcW w:w="2258" w:type="dxa"/>
            <w:noWrap w:val="0"/>
            <w:vAlign w:val="top"/>
          </w:tcPr>
          <w:p w14:paraId="7A01E423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80" w:lineRule="exact"/>
              <w:textAlignment w:val="baseline"/>
              <w:rPr>
                <w:rFonts w:hint="eastAsia" w:ascii="方正仿宋_GB2312" w:hAnsi="方正仿宋_GB2312" w:eastAsia="方正仿宋_GB2312" w:cs="方正仿宋_GB2312"/>
                <w:color w:val="auto"/>
                <w:sz w:val="30"/>
                <w:szCs w:val="30"/>
                <w:lang w:val="en-US" w:eastAsia="en-US"/>
              </w:rPr>
            </w:pPr>
          </w:p>
        </w:tc>
      </w:tr>
    </w:tbl>
    <w:p w14:paraId="68EF905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方正仿宋_GB2312">
    <w:altName w:val="仿宋-简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CF7FF95"/>
    <w:rsid w:val="ACF7F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iPriority w:val="0"/>
    <w:pPr>
      <w:spacing w:after="120"/>
    </w:pPr>
    <w:rPr>
      <w:rFonts w:ascii="Times New Roman" w:hAnsi="Times New Roman"/>
      <w:szCs w:val="24"/>
    </w:rPr>
  </w:style>
  <w:style w:type="paragraph" w:styleId="3">
    <w:name w:val="Title"/>
    <w:basedOn w:val="1"/>
    <w:next w:val="1"/>
    <w:qFormat/>
    <w:uiPriority w:val="10"/>
    <w:pPr>
      <w:pBdr>
        <w:top w:val="single" w:color="A7BFDE" w:sz="8" w:space="10"/>
        <w:bottom w:val="single" w:color="9BBB59" w:sz="24" w:space="15"/>
      </w:pBdr>
      <w:jc w:val="center"/>
    </w:pPr>
    <w:rPr>
      <w:rFonts w:ascii="Cambria" w:hAnsi="Cambria"/>
      <w:i/>
      <w:iCs/>
      <w:color w:val="243F60"/>
      <w:kern w:val="0"/>
      <w:sz w:val="60"/>
      <w:szCs w:val="60"/>
    </w:rPr>
  </w:style>
  <w:style w:type="paragraph" w:styleId="4">
    <w:name w:val="Plain Text"/>
    <w:basedOn w:val="1"/>
    <w:qFormat/>
    <w:uiPriority w:val="0"/>
    <w:rPr>
      <w:rFonts w:hAnsi="Courier New"/>
      <w:sz w:val="20"/>
      <w:szCs w:val="21"/>
    </w:rPr>
  </w:style>
  <w:style w:type="table" w:styleId="6">
    <w:name w:val="Table Grid"/>
    <w:basedOn w:val="5"/>
    <w:uiPriority w:val="59"/>
    <w:pPr>
      <w:ind w:firstLine="0"/>
    </w:pPr>
    <w:rPr>
      <w:kern w:val="2"/>
      <w:sz w:val="21"/>
      <w:lang w:eastAsia="zh-CN"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Strong"/>
    <w:basedOn w:val="7"/>
    <w:qFormat/>
    <w:uiPriority w:val="22"/>
    <w:rPr>
      <w:b/>
      <w:bCs/>
      <w:spacing w:val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Office_12.1.25869.25869_F1E327BC-269C-435d-A152-05C5408002CA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2026-06-09T22:13:00Z</dcterms:created>
  <dc:creator>福特爾</dc:creator>
  <cp:lastModifiedBy>福特爾</cp:lastModifiedBy>
  <dcterms:modified xsi:type="dcterms:W3CDTF">2026-06-09T22:13:48Z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2052-12.1.25869.25869</vt:lpwstr>
  </property>
  <property fmtid="{D5CDD505-2E9C-101B-9397-08002B2CF9AE}" pid="3" name="ICV">
    <vt:lpwstr>73287EC8A52E387A841F286AF4493D37_41</vt:lpwstr>
  </property>
</Properties>
</file>