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6：</w:t>
      </w:r>
    </w:p>
    <w:p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/>
          <w:color w:val="000000"/>
          <w:kern w:val="0"/>
          <w:sz w:val="44"/>
          <w:szCs w:val="44"/>
        </w:rPr>
        <w:t>体能测评项目、标准和实施规则（</w:t>
      </w:r>
      <w:r>
        <w:rPr>
          <w:rFonts w:hint="eastAsia" w:eastAsia="方正小标宋简体" w:cs="宋体"/>
          <w:color w:val="000000"/>
          <w:kern w:val="0"/>
          <w:sz w:val="44"/>
          <w:szCs w:val="44"/>
        </w:rPr>
        <w:t>试行</w:t>
      </w:r>
      <w:r>
        <w:rPr>
          <w:rFonts w:eastAsia="方正小标宋简体" w:cs="宋体"/>
          <w:color w:val="000000"/>
          <w:kern w:val="0"/>
          <w:sz w:val="44"/>
          <w:szCs w:val="44"/>
        </w:rPr>
        <w:t>）</w:t>
      </w:r>
    </w:p>
    <w:p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eastAsia="黑体" w:cs="宋体"/>
          <w:color w:val="000000"/>
          <w:kern w:val="0"/>
          <w:sz w:val="28"/>
          <w:szCs w:val="28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一、体能测评项目和标准</w:t>
      </w:r>
    </w:p>
    <w:p>
      <w:pPr>
        <w:widowControl/>
        <w:spacing w:line="560" w:lineRule="exact"/>
        <w:ind w:firstLine="630"/>
        <w:jc w:val="left"/>
        <w:rPr>
          <w:rFonts w:hint="eastAsia" w:eastAsia="楷体_GB2312" w:cs="楷体_GB2312"/>
          <w:color w:val="000000"/>
          <w:kern w:val="0"/>
          <w:sz w:val="32"/>
          <w:szCs w:val="32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</w:rPr>
        <w:t>（一）男子组</w:t>
      </w: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47"/>
        <w:gridCol w:w="3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6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hint="eastAsia" w:eastAsia="楷体_GB2312" w:cs="楷体_GB2312"/>
          <w:color w:val="000000"/>
          <w:kern w:val="0"/>
          <w:sz w:val="32"/>
          <w:szCs w:val="32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</w:rPr>
        <w:t>（二）女子组</w:t>
      </w: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55"/>
        <w:gridCol w:w="3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7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×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7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备注：年龄计算时间截止到参加体能测评当月。凡应测项目中任意一项不达标的，即为体能测评不合格。</w:t>
      </w:r>
    </w:p>
    <w:p>
      <w:pPr>
        <w:spacing w:line="560" w:lineRule="exact"/>
        <w:ind w:firstLine="640" w:firstLineChars="200"/>
        <w:jc w:val="left"/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二、体能测评实施规则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楷体_GB2312" w:cs="宋体"/>
          <w:color w:val="000000"/>
          <w:kern w:val="0"/>
          <w:sz w:val="32"/>
          <w:szCs w:val="32"/>
        </w:rPr>
      </w:pPr>
      <w:r>
        <w:rPr>
          <w:rFonts w:hint="eastAsia" w:eastAsia="楷体_GB2312" w:cs="宋体"/>
          <w:color w:val="000000"/>
          <w:kern w:val="0"/>
          <w:sz w:val="32"/>
          <w:szCs w:val="32"/>
        </w:rPr>
        <w:t>（一）10米×4往返跑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场地器材：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场地为10米长的直线跑道，在跑道的两端各划一条5cm宽直线（S1和S2），将木块（10cm</w:t>
      </w:r>
      <w:r>
        <w:rPr>
          <w:rFonts w:eastAsia="仿宋_GB2312" w:cs="Arial"/>
          <w:color w:val="000000"/>
          <w:kern w:val="0"/>
          <w:sz w:val="32"/>
          <w:szCs w:val="32"/>
        </w:rPr>
        <w:t>×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5cm</w:t>
      </w:r>
      <w:r>
        <w:rPr>
          <w:rFonts w:eastAsia="仿宋_GB2312" w:cs="Arial"/>
          <w:color w:val="000000"/>
          <w:kern w:val="0"/>
          <w:sz w:val="32"/>
          <w:szCs w:val="32"/>
        </w:rPr>
        <w:t>×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5cm）按每道3块竖立摆放（其中2块放在S2线上，1块放在S1线上），秒表若干块。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152400</wp:posOffset>
            </wp:positionV>
            <wp:extent cx="5271770" cy="2404110"/>
            <wp:effectExtent l="0" t="0" r="5080" b="15240"/>
            <wp:wrapSquare wrapText="bothSides"/>
            <wp:docPr id="1" name="图片 2" descr="场地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场地图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组测方法：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动作要求：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注意事项：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测试时有以下任一情况，不计取成绩：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1.出发时抢跑；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2.折返时脚踩S1或S2线；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3.折返时未推倒木块。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楷体_GB2312" w:cs="宋体"/>
          <w:color w:val="000000"/>
          <w:kern w:val="0"/>
          <w:sz w:val="32"/>
          <w:szCs w:val="32"/>
        </w:rPr>
      </w:pPr>
      <w:r>
        <w:rPr>
          <w:rFonts w:hint="eastAsia" w:eastAsia="楷体_GB2312" w:cs="宋体"/>
          <w:color w:val="000000"/>
          <w:kern w:val="0"/>
          <w:sz w:val="32"/>
          <w:szCs w:val="32"/>
        </w:rPr>
        <w:t>（二）纵跳摸高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场地器材：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通常在室内场地测试，起跳处铺垫厚度不超过2厘米的硬质无弹性垫子。如选择室外场地测试，需在天气状况许可的情况下进行，当天平均气温应在15-35摄氏度之间，无太阳直射、风力不超过3级。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组测方法：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动作要求：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受测试者赤脚或穿袜，双脚自然分开，呈站立姿势。接到开始测试指令后，受测试者屈膝半蹲，双臂后摆，随后双脚蹬地垂直向上起跳，同时双臂向前上方快速摆动，举起一侧优势手触摸合格高度的目标物，触摸到相应高度者视为合格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注意事项：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测试时有以下任一情况，不计取成绩：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1.起跳时双腿有移动或有垫步动作；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2.手指甲超过指尖0.3厘米；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3.戴手套等其他物品；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4.穿鞋进行测试。</w:t>
      </w:r>
    </w:p>
    <w:p>
      <w:r>
        <w:rPr>
          <w:rFonts w:hint="eastAsia"/>
        </w:rPr>
        <w:t xml:space="preserve">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0160"/>
    <w:rsid w:val="1D514CB9"/>
    <w:rsid w:val="394C7C78"/>
    <w:rsid w:val="4C7C5788"/>
    <w:rsid w:val="52ED6C5D"/>
    <w:rsid w:val="5B105308"/>
    <w:rsid w:val="5C4446F9"/>
    <w:rsid w:val="688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2025-05-09T08:32:00Z</dcterms:created>
  <dc:creator>Lenovo</dc:creator>
  <cp:lastModifiedBy>071223</cp:lastModifiedBy>
  <dcterms:modified xsi:type="dcterms:W3CDTF">2025-09-08T01:55:03Z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