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ind w:firstLine="0" w:firstLineChars="0"/>
        <w:rPr>
          <w:rFonts w:hint="eastAsia" w:ascii="仿宋" w:hAnsi="仿宋" w:eastAsia="仿宋" w:cs="仿宋"/>
          <w:color w:val="auto"/>
          <w:sz w:val="24"/>
        </w:rPr>
      </w:pPr>
      <w:r>
        <w:rPr>
          <w:rFonts w:hint="eastAsia" w:ascii="黑体" w:hAnsi="黑体" w:eastAsia="黑体" w:cs="黑体"/>
          <w:color w:val="auto"/>
          <w:sz w:val="32"/>
          <w:szCs w:val="32"/>
        </w:rPr>
        <w:t>附件2</w:t>
      </w:r>
    </w:p>
    <w:p>
      <w:pPr>
        <w:spacing w:line="288" w:lineRule="auto"/>
        <w:outlineLvl w:val="1"/>
        <w:rPr>
          <w:rFonts w:hint="default" w:ascii="仿宋" w:hAnsi="仿宋" w:eastAsia="仿宋" w:cs="仿宋"/>
          <w:color w:val="auto"/>
          <w:sz w:val="28"/>
          <w:szCs w:val="28"/>
          <w:lang w:eastAsia="zh-CN"/>
        </w:rPr>
      </w:pPr>
    </w:p>
    <w:p>
      <w:pPr>
        <w:spacing w:line="288" w:lineRule="auto"/>
        <w:outlineLvl w:val="1"/>
        <w:rPr>
          <w:rFonts w:hint="default" w:ascii="仿宋" w:hAnsi="仿宋" w:eastAsia="仿宋" w:cs="仿宋"/>
          <w:color w:val="auto"/>
          <w:sz w:val="28"/>
          <w:szCs w:val="28"/>
          <w:lang w:eastAsia="zh-CN"/>
        </w:rPr>
      </w:pPr>
      <w:r>
        <w:rPr>
          <w:rFonts w:hint="default" w:ascii="仿宋" w:hAnsi="仿宋" w:eastAsia="仿宋" w:cs="仿宋"/>
          <w:color w:val="auto"/>
          <w:sz w:val="28"/>
          <w:szCs w:val="28"/>
          <w:lang w:eastAsia="zh-CN"/>
        </w:rPr>
        <w:t>各认租家庭：</w:t>
      </w:r>
    </w:p>
    <w:p>
      <w:pPr>
        <w:spacing w:line="288"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为方便您选择房源，现就配租项目相关情况进行说明。本批次供应的项目除</w:t>
      </w:r>
      <w:r>
        <w:rPr>
          <w:rFonts w:hint="default" w:ascii="仿宋" w:hAnsi="仿宋" w:eastAsia="仿宋" w:cs="仿宋"/>
          <w:color w:val="auto"/>
          <w:sz w:val="28"/>
          <w:szCs w:val="28"/>
          <w:lang w:eastAsia="zh-CN"/>
        </w:rPr>
        <w:t>上合花园（80套）、云上润府、雍境花</w:t>
      </w:r>
      <w:r>
        <w:rPr>
          <w:rFonts w:hint="eastAsia" w:ascii="仿宋" w:hAnsi="仿宋" w:eastAsia="仿宋" w:cs="仿宋"/>
          <w:color w:val="auto"/>
          <w:sz w:val="28"/>
          <w:szCs w:val="28"/>
          <w:lang w:eastAsia="zh-CN"/>
        </w:rPr>
        <w:t>园</w:t>
      </w:r>
      <w:r>
        <w:rPr>
          <w:rFonts w:hint="eastAsia" w:ascii="仿宋" w:hAnsi="仿宋" w:eastAsia="仿宋" w:cs="仿宋"/>
          <w:color w:val="auto"/>
          <w:sz w:val="28"/>
          <w:szCs w:val="28"/>
          <w:lang w:val="en-US" w:eastAsia="zh-CN"/>
        </w:rPr>
        <w:t>外，其他项目均为腾退再次配租房源（以下统称为“存量项目”）。</w:t>
      </w:r>
      <w:r>
        <w:rPr>
          <w:rFonts w:hint="eastAsia" w:ascii="仿宋" w:hAnsi="仿宋" w:eastAsia="仿宋" w:cs="仿宋"/>
          <w:color w:val="auto"/>
          <w:sz w:val="28"/>
          <w:szCs w:val="28"/>
          <w:lang w:eastAsia="zh-CN"/>
        </w:rPr>
        <w:t>以上</w:t>
      </w:r>
      <w:r>
        <w:rPr>
          <w:rFonts w:hint="eastAsia" w:ascii="仿宋" w:hAnsi="仿宋" w:eastAsia="仿宋" w:cs="仿宋"/>
          <w:color w:val="auto"/>
          <w:sz w:val="28"/>
          <w:szCs w:val="28"/>
          <w:lang w:val="en-US" w:eastAsia="zh-CN"/>
        </w:rPr>
        <w:t>项目相关事项提示如下：</w:t>
      </w:r>
    </w:p>
    <w:p>
      <w:pPr>
        <w:pStyle w:val="4"/>
        <w:rPr>
          <w:rFonts w:hint="default"/>
          <w:color w:val="auto"/>
        </w:rPr>
      </w:pPr>
    </w:p>
    <w:p>
      <w:pPr>
        <w:spacing w:line="288" w:lineRule="auto"/>
        <w:ind w:firstLine="720" w:firstLineChars="200"/>
        <w:jc w:val="center"/>
        <w:rPr>
          <w:rFonts w:hint="default" w:ascii="仿宋" w:hAnsi="仿宋" w:eastAsia="仿宋" w:cs="仿宋"/>
          <w:b/>
          <w:bCs/>
          <w:color w:val="auto"/>
          <w:sz w:val="36"/>
          <w:szCs w:val="36"/>
        </w:rPr>
      </w:pPr>
      <w:r>
        <w:rPr>
          <w:rFonts w:hint="default" w:ascii="仿宋" w:hAnsi="仿宋" w:eastAsia="仿宋" w:cs="仿宋"/>
          <w:b/>
          <w:bCs/>
          <w:color w:val="auto"/>
          <w:sz w:val="36"/>
          <w:szCs w:val="36"/>
        </w:rPr>
        <w:t>1、上合花园项目温馨提示</w:t>
      </w:r>
    </w:p>
    <w:p>
      <w:pPr>
        <w:spacing w:line="288" w:lineRule="auto"/>
        <w:ind w:firstLine="560" w:firstLineChars="200"/>
        <w:outlineLvl w:val="0"/>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一、项目基本情况</w:t>
      </w:r>
    </w:p>
    <w:p>
      <w:pPr>
        <w:spacing w:line="288"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rPr>
        <w:t>（一）地理位置</w:t>
      </w:r>
    </w:p>
    <w:p>
      <w:pPr>
        <w:spacing w:line="288" w:lineRule="auto"/>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位于深圳市</w:t>
      </w:r>
      <w:r>
        <w:rPr>
          <w:rFonts w:hint="default" w:ascii="仿宋_GB2312" w:eastAsia="仿宋_GB2312"/>
          <w:color w:val="auto"/>
          <w:sz w:val="32"/>
          <w:szCs w:val="32"/>
          <w:highlight w:val="none"/>
        </w:rPr>
        <w:t>宝安区新安街道</w:t>
      </w:r>
      <w:r>
        <w:rPr>
          <w:rFonts w:hint="default" w:ascii="仿宋_GB2312" w:eastAsia="仿宋_GB2312"/>
          <w:color w:val="auto"/>
          <w:sz w:val="32"/>
          <w:szCs w:val="32"/>
          <w:highlight w:val="none"/>
          <w:lang w:val="en-US" w:eastAsia="zh-CN"/>
        </w:rPr>
        <w:t>上合</w:t>
      </w:r>
      <w:r>
        <w:rPr>
          <w:rFonts w:hint="default" w:ascii="仿宋_GB2312" w:eastAsia="仿宋_GB2312"/>
          <w:color w:val="auto"/>
          <w:sz w:val="32"/>
          <w:szCs w:val="32"/>
          <w:highlight w:val="none"/>
        </w:rPr>
        <w:t>社区新安三路与上川路交</w:t>
      </w:r>
      <w:r>
        <w:rPr>
          <w:rFonts w:hint="eastAsia" w:ascii="仿宋_GB2312" w:eastAsia="仿宋_GB2312"/>
          <w:color w:val="auto"/>
          <w:sz w:val="32"/>
          <w:szCs w:val="32"/>
          <w:highlight w:val="none"/>
          <w:lang w:eastAsia="zh-CN"/>
        </w:rPr>
        <w:t>会</w:t>
      </w:r>
      <w:r>
        <w:rPr>
          <w:rFonts w:hint="default" w:ascii="仿宋_GB2312" w:eastAsia="仿宋_GB2312"/>
          <w:color w:val="auto"/>
          <w:sz w:val="32"/>
          <w:szCs w:val="32"/>
          <w:highlight w:val="none"/>
        </w:rPr>
        <w:t>处</w:t>
      </w:r>
      <w:r>
        <w:rPr>
          <w:rFonts w:hint="default" w:ascii="仿宋" w:hAnsi="仿宋" w:eastAsia="仿宋" w:cs="仿宋"/>
          <w:color w:val="auto"/>
          <w:sz w:val="28"/>
          <w:szCs w:val="28"/>
        </w:rPr>
        <w:t>。</w:t>
      </w:r>
    </w:p>
    <w:p>
      <w:pPr>
        <w:spacing w:line="288"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（二）周边环境</w:t>
      </w:r>
    </w:p>
    <w:p>
      <w:pPr>
        <w:spacing w:line="288"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位于</w:t>
      </w:r>
      <w:r>
        <w:rPr>
          <w:rFonts w:hint="default" w:ascii="仿宋" w:hAnsi="仿宋" w:eastAsia="仿宋" w:cs="仿宋"/>
          <w:color w:val="auto"/>
          <w:sz w:val="28"/>
          <w:szCs w:val="28"/>
        </w:rPr>
        <w:t>宝安新安</w:t>
      </w:r>
      <w:r>
        <w:rPr>
          <w:rFonts w:hint="eastAsia" w:ascii="仿宋" w:hAnsi="仿宋" w:eastAsia="仿宋" w:cs="仿宋"/>
          <w:color w:val="auto"/>
          <w:sz w:val="28"/>
          <w:szCs w:val="28"/>
        </w:rPr>
        <w:t>片区，周边正在更新改造中，可能产生包括但不限于噪音、视觉、烟尘、粉尘、震动和尾气等影响。</w:t>
      </w:r>
    </w:p>
    <w:p>
      <w:pPr>
        <w:keepNext w:val="0"/>
        <w:keepLines w:val="0"/>
        <w:widowControl/>
        <w:suppressLineNumbers w:val="0"/>
        <w:ind w:firstLine="560" w:firstLineChars="200"/>
        <w:jc w:val="left"/>
        <w:rPr>
          <w:rFonts w:hint="default"/>
          <w:color w:val="auto"/>
          <w:lang w:val="en-US"/>
        </w:rPr>
      </w:pPr>
      <w:r>
        <w:rPr>
          <w:rFonts w:hint="eastAsia" w:ascii="仿宋" w:hAnsi="仿宋" w:eastAsia="仿宋" w:cs="仿宋"/>
          <w:color w:val="auto"/>
          <w:sz w:val="28"/>
          <w:szCs w:val="28"/>
        </w:rPr>
        <w:t>（三）交通条件</w:t>
      </w:r>
    </w:p>
    <w:p>
      <w:pPr>
        <w:spacing w:line="288"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现有公交站点：</w:t>
      </w:r>
      <w:r>
        <w:rPr>
          <w:rFonts w:hint="default" w:ascii="仿宋" w:hAnsi="仿宋" w:eastAsia="仿宋" w:cs="仿宋"/>
          <w:color w:val="auto"/>
          <w:sz w:val="28"/>
          <w:szCs w:val="28"/>
        </w:rPr>
        <w:t>上合花园、上合市场</w:t>
      </w:r>
      <w:r>
        <w:rPr>
          <w:rFonts w:hint="eastAsia" w:ascii="仿宋" w:hAnsi="仿宋" w:eastAsia="仿宋" w:cs="仿宋"/>
          <w:color w:val="auto"/>
          <w:sz w:val="28"/>
          <w:szCs w:val="28"/>
        </w:rPr>
        <w:t>站。途</w:t>
      </w:r>
      <w:r>
        <w:rPr>
          <w:rFonts w:hint="eastAsia" w:ascii="仿宋" w:hAnsi="仿宋" w:eastAsia="仿宋" w:cs="仿宋"/>
          <w:color w:val="auto"/>
          <w:sz w:val="28"/>
          <w:szCs w:val="28"/>
          <w:lang w:eastAsia="zh-CN"/>
        </w:rPr>
        <w:t>经</w:t>
      </w:r>
      <w:r>
        <w:rPr>
          <w:rFonts w:hint="eastAsia" w:ascii="仿宋" w:hAnsi="仿宋" w:eastAsia="仿宋" w:cs="仿宋"/>
          <w:color w:val="auto"/>
          <w:sz w:val="28"/>
          <w:szCs w:val="28"/>
        </w:rPr>
        <w:t>各站点的公交线路、地铁线路可登录深圳市交通运输委员会官方网站查询。</w:t>
      </w:r>
    </w:p>
    <w:p>
      <w:pPr>
        <w:spacing w:line="288"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rPr>
        <w:t>（四）相关费用</w:t>
      </w:r>
    </w:p>
    <w:p>
      <w:pPr>
        <w:spacing w:line="288"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物业管理标准为</w:t>
      </w:r>
      <w:r>
        <w:rPr>
          <w:rFonts w:hint="default" w:ascii="仿宋" w:hAnsi="仿宋" w:eastAsia="仿宋" w:cs="仿宋"/>
          <w:color w:val="auto"/>
          <w:sz w:val="28"/>
          <w:szCs w:val="28"/>
        </w:rPr>
        <w:t>2.8</w:t>
      </w:r>
      <w:r>
        <w:rPr>
          <w:rFonts w:hint="eastAsia" w:ascii="仿宋" w:hAnsi="仿宋" w:eastAsia="仿宋" w:cs="仿宋"/>
          <w:color w:val="auto"/>
          <w:sz w:val="28"/>
          <w:szCs w:val="28"/>
        </w:rPr>
        <w:t>元/月·㎡，并按政府规定标准缴交0.25元/平方米的专项维修资金。水、电等费用，按照深圳市相关规定，由深圳市供电局等对应部门收取。</w:t>
      </w:r>
    </w:p>
    <w:p>
      <w:pPr>
        <w:spacing w:line="288" w:lineRule="auto"/>
        <w:ind w:firstLine="560" w:firstLineChars="200"/>
        <w:outlineLvl w:val="0"/>
        <w:rPr>
          <w:rFonts w:hint="eastAsia" w:ascii="仿宋" w:hAnsi="仿宋" w:eastAsia="仿宋" w:cs="仿宋"/>
          <w:b/>
          <w:bCs/>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b/>
          <w:bCs/>
          <w:color w:val="auto"/>
          <w:sz w:val="28"/>
          <w:szCs w:val="28"/>
        </w:rPr>
        <w:t xml:space="preserve"> </w:t>
      </w:r>
      <w:r>
        <w:rPr>
          <w:rFonts w:hint="eastAsia" w:ascii="方正黑体_GBK" w:hAnsi="方正黑体_GBK" w:eastAsia="方正黑体_GBK" w:cs="方正黑体_GBK"/>
          <w:b/>
          <w:bCs/>
          <w:color w:val="auto"/>
          <w:sz w:val="28"/>
          <w:szCs w:val="28"/>
        </w:rPr>
        <w:t xml:space="preserve">  </w:t>
      </w:r>
      <w:r>
        <w:rPr>
          <w:rFonts w:hint="eastAsia" w:ascii="方正黑体_GBK" w:hAnsi="方正黑体_GBK" w:eastAsia="方正黑体_GBK" w:cs="方正黑体_GBK"/>
          <w:b w:val="0"/>
          <w:bCs w:val="0"/>
          <w:color w:val="auto"/>
          <w:sz w:val="28"/>
          <w:szCs w:val="28"/>
        </w:rPr>
        <w:t>二、特别提醒</w:t>
      </w:r>
    </w:p>
    <w:p>
      <w:pPr>
        <w:spacing w:line="288"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（一）公共租赁住房原则上不允许住户自行装修。严禁住户以下行为：改变建筑结构形式和功能布局、改变或影响建筑外立面、改接燃气管道或强电线路、拆除室内隔墙或入户门、原墙地砖、外窗等。 </w:t>
      </w:r>
    </w:p>
    <w:p>
      <w:pPr>
        <w:spacing w:line="288"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（二）禁止使用瓶装燃气。燃气管道已经铺装到户，已具备燃气灶及燃气热水器安装的条件，住户初次使用管道燃气时，须向燃气公司申请开通后方可使用。</w:t>
      </w:r>
    </w:p>
    <w:p>
      <w:pPr>
        <w:pStyle w:val="4"/>
        <w:rPr>
          <w:rFonts w:hint="default" w:ascii="宋体" w:hAnsi="宋体" w:eastAsia="宋体" w:cs="宋体"/>
          <w:b/>
          <w:bCs/>
          <w:color w:val="auto"/>
          <w:lang w:eastAsia="zh-CN"/>
        </w:rPr>
      </w:pPr>
      <w:r>
        <w:rPr>
          <w:rFonts w:hint="default" w:ascii="宋体" w:hAnsi="宋体" w:eastAsia="宋体" w:cs="宋体"/>
          <w:b/>
          <w:bCs/>
          <w:color w:val="auto"/>
          <w:lang w:eastAsia="zh-CN"/>
        </w:rPr>
        <w:t>房源明细表：</w:t>
      </w:r>
    </w:p>
    <w:tbl>
      <w:tblPr>
        <w:tblStyle w:val="9"/>
        <w:tblW w:w="49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2411"/>
        <w:gridCol w:w="1338"/>
        <w:gridCol w:w="1538"/>
        <w:gridCol w:w="862"/>
        <w:gridCol w:w="1338"/>
        <w:gridCol w:w="784"/>
        <w:gridCol w:w="951"/>
        <w:gridCol w:w="2064"/>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序号</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小区名称</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所属街道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栋名称</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房号</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户型</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朝向</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建筑面积</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配租人口数</w:t>
            </w:r>
          </w:p>
        </w:tc>
        <w:tc>
          <w:tcPr>
            <w:tcW w:w="739" w:type="pc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0907</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40.84</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零星腾退住房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1905</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40.91</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零星腾退住房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0504</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46.17</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0604</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46.17</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0704</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46.17</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0804</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46.16</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0904</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46.16</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1004</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46.16</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9</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1104</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46.16</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1204</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46.16</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1304</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46.16</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1404</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46.16</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1410</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42.77</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1504</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46.16</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1510</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42.77</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1604</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46.16</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1610</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42.77</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1704</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46.16</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1710</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42.77</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1804</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46.16</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1810</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42.77</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1904</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46.16</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23</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1910</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42.77</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24</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2004</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46.16</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25</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2010</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42.77</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2104</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46.16</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27</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2110</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42.77</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28</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2204</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46.16</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29</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2210</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42.77</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2304</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46.16</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31</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2310</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42.77</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32</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2404</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46.16</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33</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2410</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42.77</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34</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2504</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46.16</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35</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2510</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42.77</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2604</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46.16</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2610</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42.77</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38</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2704</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46.16</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39</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0503</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49.42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40</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0508</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51.83</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41</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0603</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49.42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42</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0608</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51.83</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43</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0703</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49.42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44</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0708</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51.83</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45</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0803</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49.42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0808</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51.82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47</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0903</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49.42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48</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0908</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51.82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1003</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49.42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50</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1008</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51.82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1103</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49.42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52</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1108</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51.82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53</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1203</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49.42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54</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1208</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51.82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55</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1303</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49.42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56</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1308</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51.82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57</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1403</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49.42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58</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1408</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51.82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59</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1503</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49.42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60</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1508</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51.82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61</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1603</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49.42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1608</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51.82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1703</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49.42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1708</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51.82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65</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1803</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49.42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66</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1808</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51.82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67</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1903</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49.42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68</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1908</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51.82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69</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2003</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49.42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2008</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51.82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71</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2103</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49.42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72</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2108</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51.82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73</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2203</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49.42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74</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2208</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51.82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75</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2303</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49.42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76</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2308</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51.82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77</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2403</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49.42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78</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2408</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51.82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79</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2503</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49.42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80</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2508</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51.82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81</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2603</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49.42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82</w:t>
            </w:r>
          </w:p>
        </w:tc>
        <w:tc>
          <w:tcPr>
            <w:tcW w:w="86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上合花园</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55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31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2608</w:t>
            </w:r>
          </w:p>
        </w:tc>
        <w:tc>
          <w:tcPr>
            <w:tcW w:w="48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28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3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51.82</w:t>
            </w:r>
          </w:p>
        </w:tc>
        <w:tc>
          <w:tcPr>
            <w:tcW w:w="74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739" w:type="pct"/>
            <w:noWrap w:val="0"/>
            <w:vAlign w:val="center"/>
          </w:tcPr>
          <w:p>
            <w:pPr>
              <w:jc w:val="center"/>
              <w:rPr>
                <w:rFonts w:hint="eastAsia" w:ascii="宋体" w:hAnsi="宋体" w:eastAsia="宋体" w:cs="宋体"/>
                <w:color w:val="auto"/>
                <w:kern w:val="0"/>
                <w:sz w:val="22"/>
                <w:szCs w:val="22"/>
                <w:vertAlign w:val="baseline"/>
              </w:rPr>
            </w:pPr>
          </w:p>
        </w:tc>
      </w:tr>
    </w:tbl>
    <w:p>
      <w:pPr>
        <w:spacing w:line="420" w:lineRule="exact"/>
        <w:jc w:val="left"/>
        <w:rPr>
          <w:rFonts w:hint="eastAsia" w:ascii="仿宋" w:hAnsi="仿宋" w:eastAsia="仿宋" w:cs="宋体"/>
          <w:color w:val="auto"/>
          <w:kern w:val="0"/>
          <w:sz w:val="28"/>
          <w:szCs w:val="28"/>
        </w:rPr>
      </w:pPr>
    </w:p>
    <w:p>
      <w:pPr>
        <w:spacing w:line="420" w:lineRule="exact"/>
        <w:jc w:val="left"/>
        <w:rPr>
          <w:rFonts w:ascii="仿宋" w:hAnsi="仿宋" w:eastAsia="仿宋"/>
          <w:color w:val="auto"/>
          <w:sz w:val="28"/>
          <w:szCs w:val="28"/>
        </w:rPr>
      </w:pPr>
      <w:r>
        <w:rPr>
          <w:rFonts w:hint="eastAsia" w:ascii="仿宋" w:hAnsi="仿宋" w:eastAsia="仿宋" w:cs="宋体"/>
          <w:color w:val="auto"/>
          <w:kern w:val="0"/>
          <w:sz w:val="28"/>
          <w:szCs w:val="28"/>
        </w:rPr>
        <w:t>备注：</w:t>
      </w:r>
      <w:r>
        <w:rPr>
          <w:rFonts w:hint="default" w:ascii="仿宋" w:hAnsi="仿宋" w:eastAsia="仿宋" w:cs="仿宋"/>
          <w:color w:val="auto"/>
          <w:sz w:val="28"/>
          <w:szCs w:val="28"/>
        </w:rPr>
        <w:t>1</w:t>
      </w:r>
      <w:r>
        <w:rPr>
          <w:rFonts w:ascii="仿宋" w:hAnsi="仿宋" w:eastAsia="仿宋" w:cs="仿宋"/>
          <w:color w:val="auto"/>
          <w:sz w:val="28"/>
          <w:szCs w:val="28"/>
        </w:rPr>
        <w:t>.</w:t>
      </w:r>
      <w:r>
        <w:rPr>
          <w:rFonts w:hint="eastAsia" w:ascii="仿宋" w:hAnsi="仿宋" w:eastAsia="仿宋"/>
          <w:color w:val="auto"/>
          <w:sz w:val="28"/>
          <w:szCs w:val="28"/>
        </w:rPr>
        <w:t>以上项目住房建筑面积仅供参考，最终房源单套建筑面积以地籍测绘部门出具的测绘报告为准。</w:t>
      </w:r>
    </w:p>
    <w:p>
      <w:pPr>
        <w:spacing w:line="420" w:lineRule="exact"/>
        <w:jc w:val="left"/>
        <w:rPr>
          <w:rFonts w:hint="default"/>
          <w:color w:val="auto"/>
        </w:rPr>
      </w:pPr>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default" w:ascii="仿宋" w:hAnsi="仿宋" w:eastAsia="仿宋"/>
          <w:color w:val="auto"/>
          <w:sz w:val="28"/>
          <w:szCs w:val="28"/>
        </w:rPr>
        <w:t>2</w:t>
      </w:r>
      <w:r>
        <w:rPr>
          <w:rFonts w:ascii="仿宋" w:hAnsi="仿宋" w:eastAsia="仿宋"/>
          <w:color w:val="auto"/>
          <w:sz w:val="28"/>
          <w:szCs w:val="28"/>
        </w:rPr>
        <w:t>.</w:t>
      </w:r>
      <w:r>
        <w:rPr>
          <w:rFonts w:hint="eastAsia" w:ascii="仿宋" w:hAnsi="仿宋" w:eastAsia="仿宋"/>
          <w:color w:val="auto"/>
          <w:sz w:val="28"/>
          <w:szCs w:val="28"/>
        </w:rPr>
        <w:t>以上项目住房具体租金最终以合同签订时市公共住房租金定价管理服务平台的定价为准</w:t>
      </w:r>
      <w:r>
        <w:rPr>
          <w:rFonts w:hint="default" w:ascii="仿宋" w:hAnsi="仿宋" w:eastAsia="仿宋"/>
          <w:color w:val="auto"/>
          <w:sz w:val="28"/>
          <w:szCs w:val="28"/>
        </w:rPr>
        <w:t>。</w:t>
      </w:r>
    </w:p>
    <w:p>
      <w:pPr>
        <w:spacing w:line="288" w:lineRule="auto"/>
        <w:ind w:firstLine="720" w:firstLineChars="200"/>
        <w:jc w:val="center"/>
        <w:rPr>
          <w:rFonts w:hint="default" w:ascii="仿宋" w:hAnsi="仿宋" w:eastAsia="仿宋" w:cs="仿宋"/>
          <w:b/>
          <w:bCs/>
          <w:color w:val="auto"/>
          <w:sz w:val="36"/>
          <w:szCs w:val="36"/>
        </w:rPr>
      </w:pPr>
    </w:p>
    <w:p>
      <w:pPr>
        <w:spacing w:line="288" w:lineRule="auto"/>
        <w:ind w:firstLine="720" w:firstLineChars="200"/>
        <w:jc w:val="center"/>
        <w:rPr>
          <w:rFonts w:hint="default" w:ascii="仿宋" w:hAnsi="仿宋" w:eastAsia="仿宋" w:cs="仿宋"/>
          <w:b/>
          <w:bCs/>
          <w:color w:val="auto"/>
          <w:sz w:val="36"/>
          <w:szCs w:val="36"/>
        </w:rPr>
      </w:pPr>
      <w:r>
        <w:rPr>
          <w:rFonts w:hint="default" w:ascii="仿宋" w:hAnsi="仿宋" w:eastAsia="仿宋" w:cs="仿宋"/>
          <w:b/>
          <w:bCs/>
          <w:color w:val="auto"/>
          <w:sz w:val="36"/>
          <w:szCs w:val="36"/>
        </w:rPr>
        <w:t>2、云上润府项目温馨提示</w:t>
      </w:r>
    </w:p>
    <w:p>
      <w:pPr>
        <w:spacing w:line="288" w:lineRule="auto"/>
        <w:ind w:firstLine="560" w:firstLineChars="200"/>
        <w:outlineLvl w:val="0"/>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一、项目基本情况</w:t>
      </w:r>
    </w:p>
    <w:p>
      <w:pPr>
        <w:spacing w:line="288"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rPr>
        <w:t>（一）地理位置</w:t>
      </w:r>
    </w:p>
    <w:p>
      <w:pPr>
        <w:spacing w:line="288" w:lineRule="auto"/>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位于深圳市宝安区福海街道桥头社区富桥大道与永昌路</w:t>
      </w:r>
      <w:r>
        <w:rPr>
          <w:rFonts w:hint="eastAsia" w:ascii="仿宋" w:hAnsi="仿宋" w:eastAsia="仿宋" w:cs="仿宋"/>
          <w:color w:val="auto"/>
          <w:sz w:val="28"/>
          <w:szCs w:val="28"/>
          <w:lang w:eastAsia="zh-CN"/>
        </w:rPr>
        <w:t>交会</w:t>
      </w:r>
      <w:r>
        <w:rPr>
          <w:rFonts w:hint="eastAsia" w:ascii="仿宋" w:hAnsi="仿宋" w:eastAsia="仿宋" w:cs="仿宋"/>
          <w:color w:val="auto"/>
          <w:sz w:val="28"/>
          <w:szCs w:val="28"/>
        </w:rPr>
        <w:t>处东北侧</w:t>
      </w:r>
      <w:r>
        <w:rPr>
          <w:rFonts w:hint="eastAsia" w:ascii="仿宋_GB2312" w:hAnsi="Calibri" w:eastAsia="仿宋_GB2312" w:cs="Times New Roman"/>
          <w:color w:val="auto"/>
          <w:kern w:val="2"/>
          <w:sz w:val="32"/>
          <w:szCs w:val="32"/>
          <w:highlight w:val="none"/>
          <w:lang w:val="en-US" w:eastAsia="zh-CN" w:bidi="ar-SA"/>
        </w:rPr>
        <w:t>。</w:t>
      </w:r>
    </w:p>
    <w:p>
      <w:pPr>
        <w:spacing w:line="288"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（二）周边环境</w:t>
      </w:r>
    </w:p>
    <w:p>
      <w:pPr>
        <w:spacing w:line="288"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位于</w:t>
      </w:r>
      <w:r>
        <w:rPr>
          <w:rFonts w:hint="default" w:ascii="仿宋" w:hAnsi="仿宋" w:eastAsia="仿宋" w:cs="仿宋"/>
          <w:color w:val="auto"/>
          <w:sz w:val="28"/>
          <w:szCs w:val="28"/>
        </w:rPr>
        <w:t>宝安福海</w:t>
      </w:r>
      <w:r>
        <w:rPr>
          <w:rFonts w:hint="eastAsia" w:ascii="仿宋" w:hAnsi="仿宋" w:eastAsia="仿宋" w:cs="仿宋"/>
          <w:color w:val="auto"/>
          <w:sz w:val="28"/>
          <w:szCs w:val="28"/>
        </w:rPr>
        <w:t>片区，周边正在更新改造中，可能产生包括但不限于噪音、视觉、烟尘、粉尘、震动和尾气等影响。</w:t>
      </w:r>
    </w:p>
    <w:p>
      <w:pPr>
        <w:keepNext w:val="0"/>
        <w:keepLines w:val="0"/>
        <w:widowControl/>
        <w:suppressLineNumbers w:val="0"/>
        <w:ind w:firstLine="560" w:firstLineChars="200"/>
        <w:jc w:val="left"/>
        <w:rPr>
          <w:rFonts w:hint="default"/>
          <w:color w:val="auto"/>
          <w:lang w:val="en-US"/>
        </w:rPr>
      </w:pPr>
      <w:r>
        <w:rPr>
          <w:rFonts w:hint="eastAsia" w:ascii="仿宋" w:hAnsi="仿宋" w:eastAsia="仿宋" w:cs="仿宋"/>
          <w:color w:val="auto"/>
          <w:sz w:val="28"/>
          <w:szCs w:val="28"/>
        </w:rPr>
        <w:t>（三）交通条件</w:t>
      </w:r>
    </w:p>
    <w:p>
      <w:pPr>
        <w:spacing w:line="288" w:lineRule="auto"/>
        <w:ind w:firstLine="560" w:firstLineChars="200"/>
        <w:rPr>
          <w:rFonts w:ascii="仿宋" w:hAnsi="仿宋" w:eastAsia="仿宋" w:cs="仿宋"/>
          <w:color w:val="auto"/>
          <w:sz w:val="28"/>
          <w:szCs w:val="28"/>
        </w:rPr>
      </w:pPr>
      <w:r>
        <w:rPr>
          <w:rFonts w:hint="default" w:ascii="仿宋" w:hAnsi="仿宋" w:eastAsia="仿宋" w:cs="仿宋"/>
          <w:color w:val="auto"/>
          <w:sz w:val="28"/>
          <w:szCs w:val="28"/>
        </w:rPr>
        <w:t>附近有地铁11号线：桥头站</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途经</w:t>
      </w:r>
      <w:r>
        <w:rPr>
          <w:rFonts w:hint="eastAsia" w:ascii="仿宋" w:hAnsi="仿宋" w:eastAsia="仿宋" w:cs="仿宋"/>
          <w:color w:val="auto"/>
          <w:sz w:val="28"/>
          <w:szCs w:val="28"/>
        </w:rPr>
        <w:t>各站点的公交线路、地铁线路（已通车或规划在建中）可登录深圳市交通运输委员会官方网站查询。</w:t>
      </w:r>
    </w:p>
    <w:p>
      <w:pPr>
        <w:spacing w:line="288"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rPr>
        <w:t>（四）相关费用</w:t>
      </w:r>
    </w:p>
    <w:p>
      <w:pPr>
        <w:spacing w:line="288" w:lineRule="auto"/>
        <w:ind w:firstLine="560" w:firstLineChars="200"/>
        <w:rPr>
          <w:rFonts w:hint="eastAsia" w:ascii="仿宋" w:hAnsi="仿宋" w:eastAsia="仿宋" w:cs="仿宋"/>
          <w:color w:val="auto"/>
          <w:sz w:val="28"/>
          <w:szCs w:val="28"/>
        </w:rPr>
      </w:pPr>
      <w:bookmarkStart w:id="0" w:name="_GoBack"/>
      <w:bookmarkEnd w:id="0"/>
      <w:r>
        <w:rPr>
          <w:rFonts w:hint="eastAsia" w:ascii="仿宋" w:hAnsi="仿宋" w:eastAsia="仿宋" w:cs="仿宋"/>
          <w:color w:val="auto"/>
          <w:sz w:val="28"/>
          <w:szCs w:val="28"/>
          <w:lang w:eastAsia="zh-CN"/>
        </w:rPr>
        <w:t>物业管理标准为</w:t>
      </w:r>
      <w:r>
        <w:rPr>
          <w:rFonts w:hint="default" w:ascii="仿宋" w:hAnsi="仿宋" w:eastAsia="仿宋" w:cs="仿宋"/>
          <w:color w:val="auto"/>
          <w:sz w:val="28"/>
          <w:szCs w:val="28"/>
        </w:rPr>
        <w:t>4.5</w:t>
      </w:r>
      <w:r>
        <w:rPr>
          <w:rFonts w:hint="eastAsia" w:ascii="仿宋" w:hAnsi="仿宋" w:eastAsia="仿宋" w:cs="仿宋"/>
          <w:color w:val="auto"/>
          <w:sz w:val="28"/>
          <w:szCs w:val="28"/>
        </w:rPr>
        <w:t>元/月·㎡，并按政府规定标准缴交0.25元/平方米的专项维修资金。水、电等费用，按照深圳市相关规定，由深圳市供电局等对应部门收取。</w:t>
      </w:r>
    </w:p>
    <w:p>
      <w:pPr>
        <w:spacing w:line="288" w:lineRule="auto"/>
        <w:ind w:firstLine="560" w:firstLineChars="200"/>
        <w:outlineLvl w:val="0"/>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二、特别提醒</w:t>
      </w:r>
    </w:p>
    <w:p>
      <w:pPr>
        <w:spacing w:line="288"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（一）公共租赁住房原则上不允许住户自行装修。严禁住户以下行为：改变建筑结构形式和功能布局、改变或影响建筑外立面、改接燃气管道或强电线路、拆除室内隔墙或入户门、原墙地砖、外窗等。 </w:t>
      </w:r>
    </w:p>
    <w:p>
      <w:pPr>
        <w:spacing w:line="288"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（二）禁止使用瓶装燃气。燃气管道已经铺装到户，已具备燃气灶及燃气热水器安装的条件，住户初次使用管道燃气时，须向燃气公司申请开通后方可使用。</w:t>
      </w:r>
    </w:p>
    <w:p>
      <w:pPr>
        <w:spacing w:line="288" w:lineRule="auto"/>
        <w:ind w:firstLine="560" w:firstLineChars="200"/>
        <w:outlineLvl w:val="0"/>
        <w:rPr>
          <w:rFonts w:hint="default"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三、项目</w:t>
      </w:r>
      <w:r>
        <w:rPr>
          <w:rFonts w:hint="default" w:ascii="方正黑体_GBK" w:hAnsi="方正黑体_GBK" w:eastAsia="方正黑体_GBK" w:cs="方正黑体_GBK"/>
          <w:b w:val="0"/>
          <w:bCs w:val="0"/>
          <w:color w:val="auto"/>
          <w:sz w:val="28"/>
          <w:szCs w:val="28"/>
        </w:rPr>
        <w:t>VR</w:t>
      </w:r>
    </w:p>
    <w:p>
      <w:pPr>
        <w:spacing w:line="288"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各认租家庭可通过电脑或手机端，对项目的周边环境、小区配套、样板房的室内格局和装修配置等情况进行浏览。</w:t>
      </w:r>
    </w:p>
    <w:p>
      <w:pPr>
        <w:wordWrap w:val="0"/>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en-US" w:eastAsia="zh-CN"/>
        </w:rPr>
        <w:t>云山润府</w:t>
      </w:r>
      <w:r>
        <w:rPr>
          <w:rFonts w:hint="default" w:ascii="仿宋" w:hAnsi="仿宋" w:eastAsia="仿宋" w:cs="仿宋"/>
          <w:color w:val="auto"/>
          <w:sz w:val="28"/>
          <w:szCs w:val="28"/>
        </w:rPr>
        <w:t>在线看房</w:t>
      </w:r>
      <w:r>
        <w:rPr>
          <w:rFonts w:hint="eastAsia" w:ascii="仿宋" w:hAnsi="仿宋" w:eastAsia="仿宋" w:cs="仿宋"/>
          <w:color w:val="auto"/>
          <w:sz w:val="28"/>
          <w:szCs w:val="28"/>
        </w:rPr>
        <w:t>：</w:t>
      </w:r>
      <w:r>
        <w:rPr>
          <w:rFonts w:hint="default" w:ascii="仿宋" w:hAnsi="仿宋" w:eastAsia="仿宋" w:cs="仿宋"/>
          <w:color w:val="auto"/>
          <w:sz w:val="28"/>
          <w:szCs w:val="28"/>
        </w:rPr>
        <w:t>(二维码）</w:t>
      </w:r>
    </w:p>
    <w:p>
      <w:pPr>
        <w:pStyle w:val="2"/>
        <w:spacing w:line="240" w:lineRule="auto"/>
        <w:jc w:val="center"/>
        <w:rPr>
          <w:rFonts w:hint="eastAsia" w:eastAsia="仿宋"/>
          <w:color w:val="auto"/>
          <w:lang w:eastAsia="zh-CN"/>
        </w:rPr>
      </w:pPr>
      <w:r>
        <w:rPr>
          <w:rFonts w:hint="eastAsia" w:eastAsia="仿宋"/>
          <w:color w:val="auto"/>
          <w:lang w:eastAsia="zh-CN"/>
        </w:rPr>
        <w:drawing>
          <wp:inline distT="0" distB="0" distL="114300" distR="114300">
            <wp:extent cx="2602230" cy="2602230"/>
            <wp:effectExtent l="0" t="0" r="7620" b="7620"/>
            <wp:docPr id="1" name="图片 1" descr="E:\package\key\公租房配租\25公租房\25第三季度公租房配租\挂网\云山润府VR.jpg云山润府V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package\key\公租房配租\25公租房\25第三季度公租房配租\挂网\云山润府VR.jpg云山润府VR"/>
                    <pic:cNvPicPr>
                      <a:picLocks noChangeAspect="1"/>
                    </pic:cNvPicPr>
                  </pic:nvPicPr>
                  <pic:blipFill>
                    <a:blip r:embed="rId4"/>
                    <a:srcRect/>
                    <a:stretch>
                      <a:fillRect/>
                    </a:stretch>
                  </pic:blipFill>
                  <pic:spPr>
                    <a:xfrm>
                      <a:off x="0" y="0"/>
                      <a:ext cx="2602230" cy="2602230"/>
                    </a:xfrm>
                    <a:prstGeom prst="rect">
                      <a:avLst/>
                    </a:prstGeom>
                  </pic:spPr>
                </pic:pic>
              </a:graphicData>
            </a:graphic>
          </wp:inline>
        </w:drawing>
      </w:r>
    </w:p>
    <w:p>
      <w:pPr>
        <w:pStyle w:val="2"/>
        <w:rPr>
          <w:rFonts w:hint="eastAsia"/>
          <w:color w:val="auto"/>
        </w:rPr>
      </w:pPr>
    </w:p>
    <w:p>
      <w:pPr>
        <w:spacing w:line="288" w:lineRule="auto"/>
        <w:jc w:val="left"/>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房源明细表：</w:t>
      </w:r>
    </w:p>
    <w:tbl>
      <w:tblPr>
        <w:tblStyle w:val="9"/>
        <w:tblW w:w="13943"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2123"/>
        <w:gridCol w:w="1339"/>
        <w:gridCol w:w="1846"/>
        <w:gridCol w:w="958"/>
        <w:gridCol w:w="1327"/>
        <w:gridCol w:w="830"/>
        <w:gridCol w:w="1258"/>
        <w:gridCol w:w="1985"/>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序号</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小区名称</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所属街道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栋名称</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房号</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 xml:space="preserve"> 户型</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 xml:space="preserve"> 朝向</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建筑面积</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配租人口数</w:t>
            </w:r>
          </w:p>
        </w:tc>
        <w:tc>
          <w:tcPr>
            <w:tcW w:w="170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default" w:ascii="宋体" w:hAnsi="宋体" w:eastAsia="宋体" w:cs="宋体"/>
                <w:b/>
                <w:bCs/>
                <w:i w:val="0"/>
                <w:iCs w:val="0"/>
                <w:color w:val="auto"/>
                <w:kern w:val="0"/>
                <w:sz w:val="21"/>
                <w:szCs w:val="21"/>
                <w:u w:val="none"/>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312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无障碍二房一厅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64.6</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vMerge w:val="restart"/>
            <w:noWrap w:val="0"/>
            <w:vAlign w:val="center"/>
          </w:tcPr>
          <w:p>
            <w:pPr>
              <w:spacing w:line="420" w:lineRule="exact"/>
              <w:jc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eastAsia="zh-CN" w:bidi="ar"/>
              </w:rPr>
              <w:t>无障碍住房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412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无障碍二房一厅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64.6</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vMerge w:val="continue"/>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无障碍二房一厅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64.6</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vMerge w:val="continue"/>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612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无障碍二房一厅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64.6</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vMerge w:val="continue"/>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1010</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单房</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36.94</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1110</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单房</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36.94</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1210</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单房</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36.94</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1310</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单房</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36.94</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9</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1410</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单房</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36.94</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1510</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单房</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36.94</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1610</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单房</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36.94</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1710</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单房</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36.94</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1810</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单房</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37.01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1910</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单房</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37.01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2010</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单房</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37.01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210</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单房</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37.01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2110</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单房</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37.01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2210</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单房</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37.01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310</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单房</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36.94</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410</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单房</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36.94</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510</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单房</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36.94</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610</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单房</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36.94</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23</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710</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单房</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36.94</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24</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810</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单房</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36.94</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25</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910</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单房</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36.94</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1001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27</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1002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63.7</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28</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1005</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64.52</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29</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1006</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1007</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31</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1008</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32</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1011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33</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1012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34</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35</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63.7</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1105</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64.52</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1106</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38</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1107</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39</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1108</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40</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1111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41</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1112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42</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43</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63.7</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44</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1205</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64.52</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45</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1206</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46</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1207</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47</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1208</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48</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1211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1212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50</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63.7</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52</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1305</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64.52</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53</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1306</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54</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1307</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55</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1308</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56</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1311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57</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1312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58</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1401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59</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1402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63.7</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60</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1405</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64.52</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61</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1406</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1407</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1408</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1411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65</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1412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66</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1501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67</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1502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63.7</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68</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1505</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64.52</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69</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1506</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1507</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71</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1508</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72</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1511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73</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1512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74</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1601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75</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1602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63.7</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76</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1605</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64.52</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77</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1606</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78</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1607</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79</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1608</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80</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1611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81</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1612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82</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1701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83</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1702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63.7</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84</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1705</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64.52</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85</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1706</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1707</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87</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1708</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88</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1711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89</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1712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90</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1801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91</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1802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92</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1805</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64.64</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93</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1806</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63.92</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94</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1807</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95</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1808</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96</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1811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97</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1812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98</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1901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99</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1902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100</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1905</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64.64</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101</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1906</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63.92</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102</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1907</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103</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1908</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104</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1911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105</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1912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106</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2001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107</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2002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108</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2005</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64.64</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109</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2006</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63.92</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2007</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111</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2008</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112</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113</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2011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114</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2012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115</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63.73</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116</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205</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64.64</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117</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206</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63.92</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118</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207</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119</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208</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2101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121</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2102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122</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2105</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64.64</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123</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2106</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63.92</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124</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2107</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125</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2108</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126</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127</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2111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128</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2112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129</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2201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2202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131</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2205</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64.64</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132</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2206</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63.92</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133</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2207</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134</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2208</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135</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2211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136</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2212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63.81</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137</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138</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139</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305</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64.52</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140</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306</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141</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307</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142</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308</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143</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311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144</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401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145</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402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146</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405</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64.52</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147</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406</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148</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407</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149</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408</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150</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411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151</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501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152</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502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153</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505</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64.52</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154</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506</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155</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507</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156</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508</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157</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158</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601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159</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602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160</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605</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64.52</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161</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606</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162</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607</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163</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608</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164</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611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165</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166</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63.7</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167</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705</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64.52</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168</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706</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169</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707</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170</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708</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171</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711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172</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712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173</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801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174</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802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63.7</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175</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805</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64.52</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176</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806</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177</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807</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178</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808</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179</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811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180</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812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181</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901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182</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902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63.7</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183</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905</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64.52</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184</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906</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185</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907</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186</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908</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187</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911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188</w:t>
            </w:r>
          </w:p>
        </w:tc>
        <w:tc>
          <w:tcPr>
            <w:tcW w:w="212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云上润府</w:t>
            </w:r>
          </w:p>
        </w:tc>
        <w:tc>
          <w:tcPr>
            <w:tcW w:w="133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2栋4单元</w:t>
            </w:r>
          </w:p>
        </w:tc>
        <w:tc>
          <w:tcPr>
            <w:tcW w:w="9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912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5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63.69</w:t>
            </w:r>
          </w:p>
        </w:tc>
        <w:tc>
          <w:tcPr>
            <w:tcW w:w="198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700" w:type="dxa"/>
            <w:noWrap w:val="0"/>
            <w:vAlign w:val="center"/>
          </w:tcPr>
          <w:p>
            <w:pPr>
              <w:spacing w:line="420" w:lineRule="exact"/>
              <w:jc w:val="center"/>
              <w:rPr>
                <w:rFonts w:hint="eastAsia" w:ascii="宋体" w:hAnsi="宋体" w:eastAsia="宋体" w:cs="宋体"/>
                <w:color w:val="auto"/>
                <w:kern w:val="0"/>
                <w:sz w:val="22"/>
                <w:szCs w:val="22"/>
                <w:vertAlign w:val="baseline"/>
              </w:rPr>
            </w:pPr>
          </w:p>
        </w:tc>
      </w:tr>
    </w:tbl>
    <w:p>
      <w:pPr>
        <w:spacing w:line="420" w:lineRule="exact"/>
        <w:jc w:val="left"/>
        <w:rPr>
          <w:rFonts w:hint="eastAsia" w:ascii="仿宋" w:hAnsi="仿宋" w:eastAsia="仿宋" w:cs="宋体"/>
          <w:color w:val="auto"/>
          <w:kern w:val="0"/>
          <w:sz w:val="28"/>
          <w:szCs w:val="28"/>
        </w:rPr>
      </w:pPr>
    </w:p>
    <w:p>
      <w:pPr>
        <w:spacing w:line="420" w:lineRule="exact"/>
        <w:jc w:val="left"/>
        <w:rPr>
          <w:rFonts w:ascii="仿宋" w:hAnsi="仿宋" w:eastAsia="仿宋"/>
          <w:color w:val="auto"/>
          <w:sz w:val="28"/>
          <w:szCs w:val="28"/>
        </w:rPr>
      </w:pPr>
      <w:r>
        <w:rPr>
          <w:rFonts w:hint="eastAsia" w:ascii="仿宋" w:hAnsi="仿宋" w:eastAsia="仿宋" w:cs="宋体"/>
          <w:color w:val="auto"/>
          <w:kern w:val="0"/>
          <w:sz w:val="28"/>
          <w:szCs w:val="28"/>
        </w:rPr>
        <w:t>备注：</w:t>
      </w:r>
      <w:r>
        <w:rPr>
          <w:rFonts w:hint="default" w:ascii="仿宋" w:hAnsi="仿宋" w:eastAsia="仿宋" w:cs="仿宋"/>
          <w:color w:val="auto"/>
          <w:sz w:val="28"/>
          <w:szCs w:val="28"/>
        </w:rPr>
        <w:t>1</w:t>
      </w:r>
      <w:r>
        <w:rPr>
          <w:rFonts w:ascii="仿宋" w:hAnsi="仿宋" w:eastAsia="仿宋" w:cs="仿宋"/>
          <w:color w:val="auto"/>
          <w:sz w:val="28"/>
          <w:szCs w:val="28"/>
        </w:rPr>
        <w:t>.</w:t>
      </w:r>
      <w:r>
        <w:rPr>
          <w:rFonts w:hint="eastAsia" w:ascii="仿宋" w:hAnsi="仿宋" w:eastAsia="仿宋"/>
          <w:color w:val="auto"/>
          <w:sz w:val="28"/>
          <w:szCs w:val="28"/>
        </w:rPr>
        <w:t>以上项目住房建筑面积仅供参考，最终房源单套建筑面积以地籍测绘部门出具的测绘报告为准。</w:t>
      </w:r>
    </w:p>
    <w:p>
      <w:pPr>
        <w:spacing w:line="420" w:lineRule="exact"/>
        <w:jc w:val="left"/>
        <w:rPr>
          <w:rFonts w:hint="eastAsia"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default" w:ascii="仿宋" w:hAnsi="仿宋" w:eastAsia="仿宋"/>
          <w:color w:val="auto"/>
          <w:sz w:val="28"/>
          <w:szCs w:val="28"/>
        </w:rPr>
        <w:t xml:space="preserve"> 2</w:t>
      </w:r>
      <w:r>
        <w:rPr>
          <w:rFonts w:ascii="仿宋" w:hAnsi="仿宋" w:eastAsia="仿宋"/>
          <w:color w:val="auto"/>
          <w:sz w:val="28"/>
          <w:szCs w:val="28"/>
        </w:rPr>
        <w:t>.</w:t>
      </w:r>
      <w:r>
        <w:rPr>
          <w:rFonts w:hint="eastAsia" w:ascii="仿宋" w:hAnsi="仿宋" w:eastAsia="仿宋"/>
          <w:color w:val="auto"/>
          <w:sz w:val="28"/>
          <w:szCs w:val="28"/>
        </w:rPr>
        <w:t>以上项目住房具体租金最终以合同签订时市公共住房租金定价管理服务平台的定价为准。</w:t>
      </w:r>
    </w:p>
    <w:p>
      <w:pPr>
        <w:spacing w:line="288" w:lineRule="auto"/>
        <w:jc w:val="left"/>
        <w:rPr>
          <w:rFonts w:hint="eastAsia" w:ascii="仿宋" w:hAnsi="仿宋" w:eastAsia="仿宋" w:cs="仿宋"/>
          <w:color w:val="auto"/>
          <w:sz w:val="28"/>
          <w:szCs w:val="28"/>
        </w:rPr>
      </w:pPr>
    </w:p>
    <w:p>
      <w:pPr>
        <w:spacing w:line="288" w:lineRule="auto"/>
        <w:ind w:firstLine="720" w:firstLineChars="200"/>
        <w:jc w:val="center"/>
        <w:rPr>
          <w:rFonts w:hint="default" w:ascii="仿宋" w:hAnsi="仿宋" w:eastAsia="仿宋" w:cs="仿宋"/>
          <w:b/>
          <w:bCs/>
          <w:color w:val="auto"/>
          <w:sz w:val="36"/>
          <w:szCs w:val="36"/>
        </w:rPr>
      </w:pPr>
      <w:r>
        <w:rPr>
          <w:rFonts w:hint="default" w:ascii="仿宋" w:hAnsi="仿宋" w:eastAsia="仿宋" w:cs="仿宋"/>
          <w:b/>
          <w:bCs/>
          <w:color w:val="auto"/>
          <w:sz w:val="36"/>
          <w:szCs w:val="36"/>
        </w:rPr>
        <w:t>3、会展湾雍境花园项目温馨提示</w:t>
      </w:r>
    </w:p>
    <w:p>
      <w:pPr>
        <w:spacing w:line="288" w:lineRule="auto"/>
        <w:ind w:firstLine="560" w:firstLineChars="200"/>
        <w:outlineLvl w:val="0"/>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一、项目基本情况</w:t>
      </w:r>
    </w:p>
    <w:p>
      <w:pPr>
        <w:spacing w:line="288"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rPr>
        <w:t>（一）地理位置</w:t>
      </w:r>
    </w:p>
    <w:p>
      <w:pPr>
        <w:spacing w:line="288" w:lineRule="auto"/>
        <w:ind w:left="279" w:leftChars="133" w:firstLine="420" w:firstLineChars="150"/>
        <w:rPr>
          <w:rFonts w:hint="eastAsia" w:ascii="仿宋_GB2312" w:hAnsi="Calibri" w:eastAsia="仿宋_GB2312" w:cs="Times New Roman"/>
          <w:color w:val="auto"/>
          <w:kern w:val="2"/>
          <w:sz w:val="32"/>
          <w:szCs w:val="32"/>
          <w:highlight w:val="none"/>
          <w:lang w:val="en-US" w:eastAsia="zh-CN" w:bidi="ar-SA"/>
        </w:rPr>
      </w:pPr>
      <w:r>
        <w:rPr>
          <w:rFonts w:hint="eastAsia" w:ascii="仿宋" w:hAnsi="仿宋" w:eastAsia="仿宋" w:cs="仿宋"/>
          <w:color w:val="auto"/>
          <w:sz w:val="28"/>
          <w:szCs w:val="28"/>
        </w:rPr>
        <w:t>位于深圳市宝安区</w:t>
      </w:r>
      <w:r>
        <w:rPr>
          <w:rFonts w:hint="default" w:ascii="仿宋_GB2312" w:eastAsia="仿宋_GB2312"/>
          <w:color w:val="auto"/>
          <w:sz w:val="32"/>
          <w:szCs w:val="32"/>
          <w:highlight w:val="none"/>
        </w:rPr>
        <w:t>沙井街道和一社区展贤路与展城路</w:t>
      </w:r>
      <w:r>
        <w:rPr>
          <w:rFonts w:hint="eastAsia" w:ascii="仿宋_GB2312" w:eastAsia="仿宋_GB2312"/>
          <w:color w:val="auto"/>
          <w:sz w:val="32"/>
          <w:szCs w:val="32"/>
          <w:highlight w:val="none"/>
          <w:lang w:eastAsia="zh-CN"/>
        </w:rPr>
        <w:t>交会</w:t>
      </w:r>
      <w:r>
        <w:rPr>
          <w:rFonts w:hint="default" w:ascii="仿宋_GB2312" w:eastAsia="仿宋_GB2312"/>
          <w:color w:val="auto"/>
          <w:sz w:val="32"/>
          <w:szCs w:val="32"/>
          <w:highlight w:val="none"/>
        </w:rPr>
        <w:t>处东北侧</w:t>
      </w:r>
      <w:r>
        <w:rPr>
          <w:rFonts w:hint="eastAsia" w:ascii="仿宋_GB2312" w:hAnsi="Calibri" w:eastAsia="仿宋_GB2312" w:cs="Times New Roman"/>
          <w:color w:val="auto"/>
          <w:kern w:val="2"/>
          <w:sz w:val="32"/>
          <w:szCs w:val="32"/>
          <w:highlight w:val="none"/>
          <w:lang w:val="en-US" w:eastAsia="zh-CN" w:bidi="ar-SA"/>
        </w:rPr>
        <w:t>。</w:t>
      </w:r>
    </w:p>
    <w:p>
      <w:pPr>
        <w:spacing w:line="288" w:lineRule="auto"/>
        <w:ind w:left="279" w:leftChars="133"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（二）周边环境</w:t>
      </w:r>
    </w:p>
    <w:p>
      <w:pPr>
        <w:spacing w:line="288"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位于</w:t>
      </w:r>
      <w:r>
        <w:rPr>
          <w:rFonts w:hint="default" w:ascii="仿宋" w:hAnsi="仿宋" w:eastAsia="仿宋" w:cs="仿宋"/>
          <w:color w:val="auto"/>
          <w:sz w:val="28"/>
          <w:szCs w:val="28"/>
        </w:rPr>
        <w:t>宝安沙井</w:t>
      </w:r>
      <w:r>
        <w:rPr>
          <w:rFonts w:hint="eastAsia" w:ascii="仿宋" w:hAnsi="仿宋" w:eastAsia="仿宋" w:cs="仿宋"/>
          <w:color w:val="auto"/>
          <w:sz w:val="28"/>
          <w:szCs w:val="28"/>
        </w:rPr>
        <w:t>片区，周边正在更新改造中，可能产生包括但不限于噪音、视觉、烟尘、粉尘、震动和尾气等影响。</w:t>
      </w:r>
    </w:p>
    <w:p>
      <w:pPr>
        <w:keepNext w:val="0"/>
        <w:keepLines w:val="0"/>
        <w:widowControl/>
        <w:suppressLineNumbers w:val="0"/>
        <w:ind w:firstLine="560" w:firstLineChars="200"/>
        <w:jc w:val="left"/>
        <w:rPr>
          <w:rFonts w:hint="default"/>
          <w:color w:val="auto"/>
          <w:lang w:val="en-US"/>
        </w:rPr>
      </w:pPr>
      <w:r>
        <w:rPr>
          <w:rFonts w:hint="eastAsia" w:ascii="仿宋" w:hAnsi="仿宋" w:eastAsia="仿宋" w:cs="仿宋"/>
          <w:color w:val="auto"/>
          <w:sz w:val="28"/>
          <w:szCs w:val="28"/>
        </w:rPr>
        <w:t>（三）交通条件</w:t>
      </w:r>
    </w:p>
    <w:p>
      <w:pPr>
        <w:spacing w:line="288" w:lineRule="auto"/>
        <w:ind w:firstLine="560" w:firstLineChars="200"/>
        <w:rPr>
          <w:rFonts w:ascii="仿宋" w:hAnsi="仿宋" w:eastAsia="仿宋" w:cs="仿宋"/>
          <w:color w:val="auto"/>
          <w:sz w:val="28"/>
          <w:szCs w:val="28"/>
        </w:rPr>
      </w:pPr>
      <w:r>
        <w:rPr>
          <w:rFonts w:hint="default" w:ascii="仿宋" w:hAnsi="仿宋" w:eastAsia="仿宋" w:cs="仿宋"/>
          <w:color w:val="auto"/>
          <w:sz w:val="28"/>
          <w:szCs w:val="28"/>
        </w:rPr>
        <w:t>附近有地铁12号线：海上田园南站</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途经</w:t>
      </w:r>
      <w:r>
        <w:rPr>
          <w:rFonts w:hint="eastAsia" w:ascii="仿宋" w:hAnsi="仿宋" w:eastAsia="仿宋" w:cs="仿宋"/>
          <w:color w:val="auto"/>
          <w:sz w:val="28"/>
          <w:szCs w:val="28"/>
        </w:rPr>
        <w:t>各站点的公交线路、地铁线路（已通车或规划在建中）可登录深圳市交通运输委员会官方网站查询。</w:t>
      </w:r>
    </w:p>
    <w:p>
      <w:pPr>
        <w:spacing w:line="288"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rPr>
        <w:t>（四）相关费用</w:t>
      </w:r>
    </w:p>
    <w:p>
      <w:pPr>
        <w:spacing w:line="288"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物业管理标准为</w:t>
      </w:r>
      <w:r>
        <w:rPr>
          <w:rFonts w:hint="default" w:ascii="仿宋" w:hAnsi="仿宋" w:eastAsia="仿宋" w:cs="仿宋"/>
          <w:color w:val="auto"/>
          <w:sz w:val="28"/>
          <w:szCs w:val="28"/>
        </w:rPr>
        <w:t>4.5</w:t>
      </w:r>
      <w:r>
        <w:rPr>
          <w:rFonts w:hint="eastAsia" w:ascii="仿宋" w:hAnsi="仿宋" w:eastAsia="仿宋" w:cs="仿宋"/>
          <w:color w:val="auto"/>
          <w:sz w:val="28"/>
          <w:szCs w:val="28"/>
        </w:rPr>
        <w:t>元/月·㎡，并按政府规定标准缴交0.25元/平方米的专项维修资金。水、电等费用，按照深圳市相关规定，由深圳市供电局等对应部门收取。</w:t>
      </w:r>
    </w:p>
    <w:p>
      <w:pPr>
        <w:spacing w:line="288" w:lineRule="auto"/>
        <w:ind w:firstLine="560" w:firstLineChars="200"/>
        <w:outlineLvl w:val="0"/>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二、特别提醒</w:t>
      </w:r>
    </w:p>
    <w:p>
      <w:pPr>
        <w:spacing w:line="288"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（一）公共租赁住房原则上不允许住户自行装修。严禁住户以下行为：改变建筑结构形式和功能布局、改变或影响建筑外立面、改接燃气管道或强电线路、拆除室内隔墙或入户门、原墙地砖、外窗等。 </w:t>
      </w:r>
    </w:p>
    <w:p>
      <w:pPr>
        <w:spacing w:line="288"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（二）禁止使用瓶装燃气。燃气管道已经铺装到户，已具备燃气灶及燃气热水器安装的条件，住户初次使用管道燃气时，须向燃气公司申请开通后方可使用。</w:t>
      </w:r>
    </w:p>
    <w:p>
      <w:pPr>
        <w:spacing w:line="288" w:lineRule="auto"/>
        <w:ind w:left="838" w:leftChars="266" w:hanging="280" w:hangingChars="100"/>
        <w:rPr>
          <w:rFonts w:hint="eastAsia" w:ascii="仿宋" w:hAnsi="仿宋" w:eastAsia="仿宋" w:cs="仿宋"/>
          <w:color w:val="auto"/>
          <w:sz w:val="28"/>
          <w:szCs w:val="28"/>
        </w:rPr>
      </w:pPr>
      <w:r>
        <w:rPr>
          <w:rFonts w:hint="eastAsia" w:ascii="仿宋" w:hAnsi="仿宋" w:eastAsia="仿宋" w:cs="仿宋"/>
          <w:color w:val="auto"/>
          <w:sz w:val="28"/>
          <w:szCs w:val="28"/>
        </w:rPr>
        <w:t>（三）在线看房仅供参考，具体以实际为准。</w:t>
      </w:r>
    </w:p>
    <w:p>
      <w:pPr>
        <w:spacing w:line="288" w:lineRule="auto"/>
        <w:ind w:firstLine="560" w:firstLineChars="200"/>
        <w:outlineLvl w:val="0"/>
        <w:rPr>
          <w:rFonts w:hint="default"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三、项目</w:t>
      </w:r>
      <w:r>
        <w:rPr>
          <w:rFonts w:hint="default" w:ascii="方正黑体_GBK" w:hAnsi="方正黑体_GBK" w:eastAsia="方正黑体_GBK" w:cs="方正黑体_GBK"/>
          <w:b w:val="0"/>
          <w:bCs w:val="0"/>
          <w:color w:val="auto"/>
          <w:sz w:val="28"/>
          <w:szCs w:val="28"/>
        </w:rPr>
        <w:t>VR</w:t>
      </w:r>
    </w:p>
    <w:p>
      <w:pPr>
        <w:spacing w:line="288"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各认租家庭可通过电脑或手机端，对项目的周边环境、小区配套、样板房的室内格局和装修配置等情况进行浏览。</w:t>
      </w:r>
    </w:p>
    <w:p>
      <w:pPr>
        <w:wordWrap w:val="0"/>
        <w:spacing w:line="560" w:lineRule="exact"/>
        <w:ind w:firstLine="560" w:firstLineChars="200"/>
        <w:rPr>
          <w:rFonts w:hint="default" w:ascii="仿宋" w:hAnsi="仿宋" w:eastAsia="仿宋" w:cs="仿宋"/>
          <w:color w:val="auto"/>
          <w:sz w:val="28"/>
          <w:szCs w:val="28"/>
        </w:rPr>
      </w:pPr>
      <w:r>
        <w:rPr>
          <w:rFonts w:hint="default" w:ascii="仿宋" w:hAnsi="仿宋" w:eastAsia="仿宋" w:cs="仿宋"/>
          <w:color w:val="auto"/>
          <w:sz w:val="28"/>
          <w:szCs w:val="28"/>
        </w:rPr>
        <w:t>会展湾雍境花园在线看房</w:t>
      </w:r>
      <w:r>
        <w:rPr>
          <w:rFonts w:hint="eastAsia" w:ascii="仿宋" w:hAnsi="仿宋" w:eastAsia="仿宋" w:cs="仿宋"/>
          <w:color w:val="auto"/>
          <w:sz w:val="28"/>
          <w:szCs w:val="28"/>
        </w:rPr>
        <w:t>：</w:t>
      </w:r>
      <w:r>
        <w:rPr>
          <w:rFonts w:hint="default" w:ascii="仿宋" w:hAnsi="仿宋" w:eastAsia="仿宋" w:cs="仿宋"/>
          <w:color w:val="auto"/>
          <w:sz w:val="28"/>
          <w:szCs w:val="28"/>
        </w:rPr>
        <w:t>(二维码）</w:t>
      </w:r>
    </w:p>
    <w:p>
      <w:pPr>
        <w:spacing w:line="288" w:lineRule="auto"/>
        <w:ind w:left="768" w:leftChars="266" w:hanging="210" w:hangingChars="100"/>
        <w:jc w:val="center"/>
        <w:rPr>
          <w:rFonts w:hint="eastAsia"/>
          <w:color w:val="auto"/>
        </w:rPr>
      </w:pPr>
      <w:r>
        <w:rPr>
          <w:rFonts w:hint="eastAsia" w:eastAsia="仿宋"/>
          <w:color w:val="auto"/>
          <w:lang w:eastAsia="zh-CN"/>
        </w:rPr>
        <w:drawing>
          <wp:inline distT="0" distB="0" distL="114300" distR="114300">
            <wp:extent cx="2602230" cy="2602230"/>
            <wp:effectExtent l="0" t="0" r="7620" b="7620"/>
            <wp:docPr id="2" name="图片 2" descr="E:\package\key\公租房配租\25公租房\25第三季度公租房配租\挂网\会展湾雍境VR.png会展湾雍境V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package\key\公租房配租\25公租房\25第三季度公租房配租\挂网\会展湾雍境VR.png会展湾雍境VR"/>
                    <pic:cNvPicPr>
                      <a:picLocks noChangeAspect="1"/>
                    </pic:cNvPicPr>
                  </pic:nvPicPr>
                  <pic:blipFill>
                    <a:blip r:embed="rId5"/>
                    <a:srcRect/>
                    <a:stretch>
                      <a:fillRect/>
                    </a:stretch>
                  </pic:blipFill>
                  <pic:spPr>
                    <a:xfrm>
                      <a:off x="0" y="0"/>
                      <a:ext cx="2602230" cy="2602230"/>
                    </a:xfrm>
                    <a:prstGeom prst="rect">
                      <a:avLst/>
                    </a:prstGeom>
                  </pic:spPr>
                </pic:pic>
              </a:graphicData>
            </a:graphic>
          </wp:inline>
        </w:drawing>
      </w:r>
    </w:p>
    <w:p>
      <w:pPr>
        <w:spacing w:line="288" w:lineRule="auto"/>
        <w:ind w:left="768" w:leftChars="266" w:hanging="210" w:hangingChars="100"/>
        <w:rPr>
          <w:rFonts w:hint="eastAsia"/>
          <w:color w:val="auto"/>
        </w:rPr>
      </w:pPr>
    </w:p>
    <w:p>
      <w:pPr>
        <w:spacing w:line="288" w:lineRule="auto"/>
        <w:jc w:val="left"/>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房源明细表：</w:t>
      </w:r>
    </w:p>
    <w:tbl>
      <w:tblPr>
        <w:tblStyle w:val="9"/>
        <w:tblW w:w="1393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2167"/>
        <w:gridCol w:w="1260"/>
        <w:gridCol w:w="1892"/>
        <w:gridCol w:w="981"/>
        <w:gridCol w:w="1315"/>
        <w:gridCol w:w="762"/>
        <w:gridCol w:w="1281"/>
        <w:gridCol w:w="2053"/>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序号</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小区名称</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所属街道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栋名称</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房号</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 xml:space="preserve"> 户型</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 xml:space="preserve"> 朝向</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建筑面积</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配租人口数</w:t>
            </w:r>
          </w:p>
        </w:tc>
        <w:tc>
          <w:tcPr>
            <w:tcW w:w="163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default" w:ascii="宋体" w:hAnsi="宋体" w:eastAsia="宋体" w:cs="宋体"/>
                <w:b/>
                <w:bCs/>
                <w:i w:val="0"/>
                <w:iCs w:val="0"/>
                <w:color w:val="auto"/>
                <w:kern w:val="0"/>
                <w:sz w:val="21"/>
                <w:szCs w:val="21"/>
                <w:u w:val="none"/>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w:t>
            </w:r>
          </w:p>
        </w:tc>
        <w:tc>
          <w:tcPr>
            <w:tcW w:w="2167"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201</w:t>
            </w:r>
          </w:p>
        </w:tc>
        <w:tc>
          <w:tcPr>
            <w:tcW w:w="1315"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无障碍二房一厅</w:t>
            </w:r>
          </w:p>
        </w:tc>
        <w:tc>
          <w:tcPr>
            <w:tcW w:w="762"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left"/>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vMerge w:val="restart"/>
            <w:noWrap w:val="0"/>
            <w:vAlign w:val="center"/>
          </w:tcPr>
          <w:p>
            <w:pPr>
              <w:spacing w:line="420" w:lineRule="exact"/>
              <w:jc w:val="center"/>
              <w:rPr>
                <w:rFonts w:hint="eastAsia" w:ascii="仿宋" w:hAnsi="仿宋" w:eastAsia="仿宋" w:cs="宋体"/>
                <w:color w:val="auto"/>
                <w:kern w:val="0"/>
                <w:sz w:val="28"/>
                <w:szCs w:val="28"/>
                <w:vertAlign w:val="baseline"/>
              </w:rPr>
            </w:pPr>
            <w:r>
              <w:rPr>
                <w:rFonts w:hint="default" w:ascii="宋体" w:hAnsi="宋体" w:eastAsia="宋体" w:cs="宋体"/>
                <w:i w:val="0"/>
                <w:iCs w:val="0"/>
                <w:color w:val="auto"/>
                <w:kern w:val="0"/>
                <w:sz w:val="21"/>
                <w:szCs w:val="21"/>
                <w:u w:val="none"/>
                <w:lang w:eastAsia="zh-CN" w:bidi="ar"/>
              </w:rPr>
              <w:t>无障碍住房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w:t>
            </w:r>
          </w:p>
        </w:tc>
        <w:tc>
          <w:tcPr>
            <w:tcW w:w="2167"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301</w:t>
            </w:r>
          </w:p>
        </w:tc>
        <w:tc>
          <w:tcPr>
            <w:tcW w:w="1315"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无障碍二房一厅</w:t>
            </w:r>
          </w:p>
        </w:tc>
        <w:tc>
          <w:tcPr>
            <w:tcW w:w="762"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left"/>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vMerge w:val="continue"/>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w:t>
            </w:r>
          </w:p>
        </w:tc>
        <w:tc>
          <w:tcPr>
            <w:tcW w:w="2167"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401</w:t>
            </w:r>
          </w:p>
        </w:tc>
        <w:tc>
          <w:tcPr>
            <w:tcW w:w="1315"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无障碍二房一厅</w:t>
            </w:r>
          </w:p>
        </w:tc>
        <w:tc>
          <w:tcPr>
            <w:tcW w:w="762"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left"/>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vMerge w:val="continue"/>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4</w:t>
            </w:r>
          </w:p>
        </w:tc>
        <w:tc>
          <w:tcPr>
            <w:tcW w:w="2167"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501</w:t>
            </w:r>
          </w:p>
        </w:tc>
        <w:tc>
          <w:tcPr>
            <w:tcW w:w="1315"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无障碍二房一厅</w:t>
            </w:r>
          </w:p>
        </w:tc>
        <w:tc>
          <w:tcPr>
            <w:tcW w:w="762"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left"/>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vMerge w:val="continue"/>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5</w:t>
            </w:r>
          </w:p>
        </w:tc>
        <w:tc>
          <w:tcPr>
            <w:tcW w:w="2167"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601</w:t>
            </w:r>
          </w:p>
        </w:tc>
        <w:tc>
          <w:tcPr>
            <w:tcW w:w="1315"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无障碍二房一厅</w:t>
            </w:r>
          </w:p>
        </w:tc>
        <w:tc>
          <w:tcPr>
            <w:tcW w:w="762"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default" w:ascii="Calibri" w:hAnsi="Calibri" w:eastAsia="宋体" w:cs="Calibri"/>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left"/>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vMerge w:val="continue"/>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40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41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42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43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44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45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46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47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48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49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50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51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52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53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54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55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56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57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58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59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60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61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62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63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64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65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66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67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68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69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70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71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72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73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74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75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76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77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78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79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80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81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82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83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84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85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86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87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88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89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90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91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92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93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94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95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96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97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98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99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100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101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102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103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104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105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106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107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108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109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110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111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112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113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114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115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116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117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2301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118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2302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119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2303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120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2304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121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2305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122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2306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123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2307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124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2308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125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2401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126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2402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127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2403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128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2404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129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2405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130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2406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131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2407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132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2408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133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2501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134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2502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135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2503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136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2504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137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2505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138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2506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139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2507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140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2508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141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142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143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144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145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146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147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148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149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2701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150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2702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151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2703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152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2704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153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2705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154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2706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155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2707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156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2708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157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2801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158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2802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159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2803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160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2804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161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2805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162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2806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163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2807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164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2808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165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2901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166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2902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167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2903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168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2904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169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2905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170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2906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171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2907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172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2908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173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174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175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176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177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178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179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180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181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182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183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184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185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186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187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188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189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190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191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192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193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194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195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196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197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198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199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200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201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202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203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204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205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206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207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208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209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210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211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212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213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214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215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216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217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218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219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220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221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222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223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224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225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901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226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902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227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903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228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229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64.84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230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62.26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231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62.2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232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会展湾雍境花园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63.82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3人及以上家庭</w:t>
            </w:r>
          </w:p>
        </w:tc>
        <w:tc>
          <w:tcPr>
            <w:tcW w:w="1632" w:type="dxa"/>
            <w:noWrap w:val="0"/>
            <w:vAlign w:val="top"/>
          </w:tcPr>
          <w:p>
            <w:pPr>
              <w:spacing w:line="420" w:lineRule="exact"/>
              <w:jc w:val="left"/>
              <w:rPr>
                <w:rFonts w:hint="eastAsia" w:ascii="仿宋" w:hAnsi="仿宋" w:eastAsia="仿宋" w:cs="宋体"/>
                <w:color w:val="auto"/>
                <w:kern w:val="0"/>
                <w:sz w:val="28"/>
                <w:szCs w:val="28"/>
                <w:vertAlign w:val="baseline"/>
              </w:rPr>
            </w:pPr>
          </w:p>
        </w:tc>
      </w:tr>
    </w:tbl>
    <w:p>
      <w:pPr>
        <w:pStyle w:val="2"/>
        <w:ind w:left="0" w:leftChars="0" w:firstLine="0" w:firstLineChars="0"/>
        <w:rPr>
          <w:rFonts w:hint="eastAsia"/>
          <w:color w:val="auto"/>
        </w:rPr>
      </w:pPr>
    </w:p>
    <w:p>
      <w:pPr>
        <w:spacing w:line="420" w:lineRule="exact"/>
        <w:jc w:val="left"/>
        <w:rPr>
          <w:rFonts w:ascii="仿宋" w:hAnsi="仿宋" w:eastAsia="仿宋"/>
          <w:color w:val="auto"/>
          <w:sz w:val="28"/>
          <w:szCs w:val="28"/>
        </w:rPr>
      </w:pPr>
      <w:r>
        <w:rPr>
          <w:rFonts w:hint="eastAsia" w:ascii="仿宋" w:hAnsi="仿宋" w:eastAsia="仿宋" w:cs="宋体"/>
          <w:color w:val="auto"/>
          <w:kern w:val="0"/>
          <w:sz w:val="28"/>
          <w:szCs w:val="28"/>
        </w:rPr>
        <w:t>备注：</w:t>
      </w:r>
      <w:r>
        <w:rPr>
          <w:rFonts w:hint="default" w:ascii="仿宋" w:hAnsi="仿宋" w:eastAsia="仿宋" w:cs="仿宋"/>
          <w:color w:val="auto"/>
          <w:sz w:val="28"/>
          <w:szCs w:val="28"/>
        </w:rPr>
        <w:t>1</w:t>
      </w:r>
      <w:r>
        <w:rPr>
          <w:rFonts w:ascii="仿宋" w:hAnsi="仿宋" w:eastAsia="仿宋" w:cs="仿宋"/>
          <w:color w:val="auto"/>
          <w:sz w:val="28"/>
          <w:szCs w:val="28"/>
        </w:rPr>
        <w:t>.</w:t>
      </w:r>
      <w:r>
        <w:rPr>
          <w:rFonts w:hint="eastAsia" w:ascii="仿宋" w:hAnsi="仿宋" w:eastAsia="仿宋"/>
          <w:color w:val="auto"/>
          <w:sz w:val="28"/>
          <w:szCs w:val="28"/>
        </w:rPr>
        <w:t>以上项目住房建筑面积仅供参考，最终房源单套建筑面积以地籍测绘部门出具的测绘报告为准。</w:t>
      </w:r>
    </w:p>
    <w:p>
      <w:pPr>
        <w:spacing w:line="420" w:lineRule="exact"/>
        <w:jc w:val="left"/>
        <w:rPr>
          <w:rFonts w:hint="eastAsia"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default" w:ascii="仿宋" w:hAnsi="仿宋" w:eastAsia="仿宋"/>
          <w:color w:val="auto"/>
          <w:sz w:val="28"/>
          <w:szCs w:val="28"/>
        </w:rPr>
        <w:t xml:space="preserve"> 2</w:t>
      </w:r>
      <w:r>
        <w:rPr>
          <w:rFonts w:ascii="仿宋" w:hAnsi="仿宋" w:eastAsia="仿宋"/>
          <w:color w:val="auto"/>
          <w:sz w:val="28"/>
          <w:szCs w:val="28"/>
        </w:rPr>
        <w:t>.</w:t>
      </w:r>
      <w:r>
        <w:rPr>
          <w:rFonts w:hint="eastAsia" w:ascii="仿宋" w:hAnsi="仿宋" w:eastAsia="仿宋"/>
          <w:color w:val="auto"/>
          <w:sz w:val="28"/>
          <w:szCs w:val="28"/>
        </w:rPr>
        <w:t>以上项目住房具体租金最终以合同签订时市公共住房租金定价管理服务平台的定价为准。</w:t>
      </w:r>
    </w:p>
    <w:p>
      <w:pPr>
        <w:spacing w:line="288" w:lineRule="auto"/>
        <w:jc w:val="both"/>
        <w:rPr>
          <w:rFonts w:hint="default" w:ascii="仿宋" w:hAnsi="仿宋" w:eastAsia="仿宋" w:cs="仿宋"/>
          <w:b/>
          <w:bCs/>
          <w:color w:val="auto"/>
          <w:sz w:val="36"/>
          <w:szCs w:val="36"/>
        </w:rPr>
      </w:pPr>
    </w:p>
    <w:p>
      <w:pPr>
        <w:pStyle w:val="3"/>
        <w:spacing w:line="288" w:lineRule="auto"/>
        <w:jc w:val="center"/>
        <w:rPr>
          <w:rFonts w:hint="default" w:ascii="仿宋" w:hAnsi="仿宋" w:eastAsia="仿宋" w:cs="仿宋"/>
          <w:bCs/>
          <w:color w:val="auto"/>
          <w:kern w:val="2"/>
          <w:sz w:val="36"/>
          <w:szCs w:val="36"/>
        </w:rPr>
      </w:pPr>
    </w:p>
    <w:p>
      <w:pPr>
        <w:pStyle w:val="3"/>
        <w:spacing w:line="288" w:lineRule="auto"/>
        <w:jc w:val="center"/>
        <w:rPr>
          <w:rFonts w:hint="default" w:ascii="仿宋" w:hAnsi="仿宋" w:eastAsia="仿宋" w:cs="仿宋"/>
          <w:bCs/>
          <w:color w:val="auto"/>
          <w:kern w:val="2"/>
          <w:sz w:val="36"/>
          <w:szCs w:val="36"/>
        </w:rPr>
      </w:pPr>
      <w:r>
        <w:rPr>
          <w:rFonts w:hint="default" w:ascii="仿宋" w:hAnsi="仿宋" w:eastAsia="仿宋" w:cs="仿宋"/>
          <w:bCs/>
          <w:color w:val="auto"/>
          <w:kern w:val="2"/>
          <w:sz w:val="36"/>
          <w:szCs w:val="36"/>
        </w:rPr>
        <w:t>4、存量项目温馨提示</w:t>
      </w:r>
    </w:p>
    <w:p>
      <w:pPr>
        <w:keepNext w:val="0"/>
        <w:keepLines w:val="0"/>
        <w:widowControl/>
        <w:suppressLineNumbers w:val="0"/>
        <w:ind w:firstLine="560" w:firstLineChars="200"/>
        <w:jc w:val="left"/>
        <w:rPr>
          <w:rFonts w:ascii="黑体" w:hAnsi="宋体" w:eastAsia="黑体" w:cs="黑体"/>
          <w:color w:val="auto"/>
          <w:kern w:val="0"/>
          <w:sz w:val="31"/>
          <w:szCs w:val="31"/>
          <w:lang w:val="en-US" w:eastAsia="zh-CN" w:bidi="ar"/>
        </w:rPr>
      </w:pPr>
      <w:r>
        <w:rPr>
          <w:rFonts w:ascii="黑体" w:hAnsi="宋体" w:eastAsia="黑体" w:cs="黑体"/>
          <w:color w:val="auto"/>
          <w:kern w:val="0"/>
          <w:sz w:val="28"/>
          <w:szCs w:val="28"/>
          <w:lang w:val="en-US" w:eastAsia="zh-CN" w:bidi="ar"/>
        </w:rPr>
        <w:t>一、基本情况</w:t>
      </w:r>
      <w:r>
        <w:rPr>
          <w:rFonts w:ascii="黑体" w:hAnsi="宋体" w:eastAsia="黑体" w:cs="黑体"/>
          <w:color w:val="auto"/>
          <w:kern w:val="0"/>
          <w:sz w:val="31"/>
          <w:szCs w:val="31"/>
          <w:lang w:val="en-US" w:eastAsia="zh-CN" w:bidi="ar"/>
        </w:rPr>
        <w:t xml:space="preserve"> </w:t>
      </w:r>
    </w:p>
    <w:p>
      <w:pPr>
        <w:spacing w:line="288"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本批次供应的存量项目均属较早建成项目，且属于腾退再次配租房源，存在不同程度的使用痕迹，已完成简装具备基本使用功能</w:t>
      </w:r>
      <w:r>
        <w:rPr>
          <w:rFonts w:hint="default" w:ascii="仿宋" w:hAnsi="仿宋" w:eastAsia="仿宋" w:cs="仿宋"/>
          <w:color w:val="auto"/>
          <w:sz w:val="28"/>
          <w:szCs w:val="28"/>
          <w:lang w:eastAsia="zh-CN"/>
        </w:rPr>
        <w:t>，部分房源装修配置较低或未配置家用器具。如原配置家用器具无法正常使用或缺失，需由承租家庭自行维修、更换或购置，房屋按照现状交付。</w:t>
      </w:r>
      <w:r>
        <w:rPr>
          <w:rFonts w:hint="eastAsia" w:ascii="仿宋" w:hAnsi="仿宋" w:eastAsia="仿宋" w:cs="仿宋"/>
          <w:color w:val="auto"/>
          <w:sz w:val="28"/>
          <w:szCs w:val="28"/>
          <w:lang w:val="en-US" w:eastAsia="zh-CN"/>
        </w:rPr>
        <w:t>房屋以现状为准交付</w:t>
      </w:r>
      <w:r>
        <w:rPr>
          <w:rFonts w:hint="eastAsia" w:ascii="仿宋" w:hAnsi="仿宋" w:eastAsia="仿宋" w:cs="仿宋"/>
          <w:color w:val="auto"/>
          <w:sz w:val="28"/>
          <w:szCs w:val="28"/>
          <w:lang w:eastAsia="zh-CN"/>
        </w:rPr>
        <w:t>。</w:t>
      </w:r>
    </w:p>
    <w:p>
      <w:pPr>
        <w:pStyle w:val="4"/>
        <w:ind w:firstLine="560" w:firstLineChars="200"/>
        <w:rPr>
          <w:rFonts w:hint="default" w:ascii="黑体" w:hAnsi="宋体" w:eastAsia="黑体" w:cs="黑体"/>
          <w:color w:val="auto"/>
          <w:kern w:val="0"/>
          <w:sz w:val="28"/>
          <w:szCs w:val="28"/>
          <w:lang w:eastAsia="zh-CN" w:bidi="ar"/>
        </w:rPr>
      </w:pPr>
      <w:r>
        <w:rPr>
          <w:rFonts w:hint="default" w:ascii="黑体" w:hAnsi="宋体" w:eastAsia="黑体" w:cs="黑体"/>
          <w:color w:val="auto"/>
          <w:kern w:val="0"/>
          <w:sz w:val="28"/>
          <w:szCs w:val="28"/>
          <w:lang w:eastAsia="zh-CN" w:bidi="ar"/>
        </w:rPr>
        <w:t xml:space="preserve">二、学区教育信息 </w:t>
      </w:r>
    </w:p>
    <w:p>
      <w:pPr>
        <w:spacing w:line="288" w:lineRule="auto"/>
        <w:ind w:firstLine="560" w:firstLineChars="200"/>
        <w:rPr>
          <w:rFonts w:hint="default" w:ascii="仿宋" w:hAnsi="仿宋" w:eastAsia="仿宋" w:cs="仿宋"/>
          <w:color w:val="auto"/>
          <w:sz w:val="28"/>
          <w:szCs w:val="28"/>
          <w:lang w:eastAsia="zh-CN"/>
        </w:rPr>
      </w:pPr>
      <w:r>
        <w:rPr>
          <w:rFonts w:hint="default" w:ascii="仿宋" w:hAnsi="仿宋" w:eastAsia="仿宋" w:cs="仿宋"/>
          <w:color w:val="auto"/>
          <w:sz w:val="28"/>
          <w:szCs w:val="28"/>
          <w:lang w:eastAsia="zh-CN"/>
        </w:rPr>
        <w:t>本批次供应的存量项目部分房屋可能存在学位锁定情况，请认租家庭查询了解房屋学位锁定情况。 本批次配租房源的学区划分及学位问题，请咨询宝安区教育局，具体招生政策以宝安区教育局发布的公告为准。项目所属学区内公办学校和公办幼儿园学位紧张，不能确保本项目承租人子女就读，如申请学位根据积分排位情况未被录取，须服从宝安区关于学区划分及招生政策有关安排，同意并接受学位调剂。</w:t>
      </w:r>
    </w:p>
    <w:p>
      <w:pPr>
        <w:pStyle w:val="4"/>
        <w:ind w:firstLine="560" w:firstLineChars="200"/>
        <w:rPr>
          <w:rFonts w:hint="default" w:ascii="黑体" w:hAnsi="宋体" w:eastAsia="黑体" w:cs="黑体"/>
          <w:color w:val="auto"/>
          <w:kern w:val="0"/>
          <w:sz w:val="28"/>
          <w:szCs w:val="28"/>
          <w:lang w:eastAsia="zh-CN" w:bidi="ar"/>
        </w:rPr>
      </w:pPr>
      <w:r>
        <w:rPr>
          <w:rFonts w:hint="default" w:ascii="黑体" w:hAnsi="宋体" w:eastAsia="黑体" w:cs="黑体"/>
          <w:color w:val="auto"/>
          <w:kern w:val="0"/>
          <w:sz w:val="28"/>
          <w:szCs w:val="28"/>
          <w:lang w:eastAsia="zh-CN" w:bidi="ar"/>
        </w:rPr>
        <w:t xml:space="preserve">三、停车位情况 </w:t>
      </w:r>
    </w:p>
    <w:p>
      <w:pPr>
        <w:spacing w:line="288" w:lineRule="auto"/>
        <w:ind w:firstLine="560" w:firstLineChars="200"/>
        <w:rPr>
          <w:rFonts w:hint="default" w:ascii="仿宋" w:hAnsi="仿宋" w:eastAsia="仿宋" w:cs="仿宋"/>
          <w:color w:val="auto"/>
          <w:sz w:val="28"/>
          <w:szCs w:val="28"/>
          <w:lang w:eastAsia="zh-CN"/>
        </w:rPr>
      </w:pPr>
      <w:r>
        <w:rPr>
          <w:rFonts w:hint="default" w:ascii="仿宋" w:hAnsi="仿宋" w:eastAsia="仿宋" w:cs="仿宋"/>
          <w:color w:val="auto"/>
          <w:sz w:val="28"/>
          <w:szCs w:val="28"/>
          <w:lang w:eastAsia="zh-CN"/>
        </w:rPr>
        <w:t xml:space="preserve">本次供应项目停车位较为紧张，无法保证所有车辆均能停放到本项目，后续随着承租人的入住，停车位将更加紧张，承租人的停车应服从停车场管理单位的管理，遵守管理单位相关规定；停车费按相关主管部门批准的收费标准执行。 </w:t>
      </w:r>
    </w:p>
    <w:p>
      <w:pPr>
        <w:pStyle w:val="4"/>
        <w:ind w:firstLine="560" w:firstLineChars="200"/>
        <w:rPr>
          <w:rFonts w:hint="default" w:ascii="黑体" w:hAnsi="宋体" w:eastAsia="黑体" w:cs="黑体"/>
          <w:color w:val="auto"/>
          <w:kern w:val="0"/>
          <w:sz w:val="28"/>
          <w:szCs w:val="28"/>
          <w:lang w:eastAsia="zh-CN" w:bidi="ar"/>
        </w:rPr>
      </w:pPr>
      <w:r>
        <w:rPr>
          <w:rFonts w:hint="default" w:ascii="黑体" w:hAnsi="宋体" w:eastAsia="黑体" w:cs="黑体"/>
          <w:color w:val="auto"/>
          <w:kern w:val="0"/>
          <w:sz w:val="28"/>
          <w:szCs w:val="28"/>
          <w:lang w:eastAsia="zh-CN" w:bidi="ar"/>
        </w:rPr>
        <w:t xml:space="preserve">四、其他事项 </w:t>
      </w:r>
    </w:p>
    <w:p>
      <w:pPr>
        <w:spacing w:line="288" w:lineRule="auto"/>
        <w:ind w:firstLine="560" w:firstLineChars="200"/>
        <w:rPr>
          <w:rFonts w:hint="default" w:ascii="仿宋" w:hAnsi="仿宋" w:eastAsia="仿宋" w:cs="仿宋"/>
          <w:color w:val="auto"/>
          <w:sz w:val="28"/>
          <w:szCs w:val="28"/>
          <w:lang w:eastAsia="zh-CN"/>
        </w:rPr>
      </w:pPr>
      <w:r>
        <w:rPr>
          <w:rFonts w:hint="default" w:ascii="仿宋" w:hAnsi="仿宋" w:eastAsia="仿宋" w:cs="仿宋"/>
          <w:color w:val="auto"/>
          <w:sz w:val="28"/>
          <w:szCs w:val="28"/>
          <w:lang w:eastAsia="zh-CN"/>
        </w:rPr>
        <w:t xml:space="preserve">公共租赁住房原则上不允许住户自行装修。严禁住户以下行为：改变建筑结构形式和功能布局、改变或影响建筑外立面、改接燃气管道或强电线路、拆除室内隔墙或入户门、原墙地 砖、外窗及加装入户防盗门等。 </w:t>
      </w:r>
    </w:p>
    <w:p>
      <w:pPr>
        <w:pStyle w:val="2"/>
        <w:ind w:left="0" w:leftChars="0" w:firstLine="0" w:firstLineChars="0"/>
        <w:rPr>
          <w:rFonts w:hint="default" w:ascii="宋体" w:hAnsi="宋体" w:eastAsia="宋体" w:cs="宋体"/>
          <w:b/>
          <w:bCs/>
          <w:color w:val="auto"/>
          <w:kern w:val="2"/>
          <w:sz w:val="28"/>
          <w:szCs w:val="28"/>
          <w:lang w:eastAsia="zh-CN" w:bidi="zh-CN"/>
        </w:rPr>
      </w:pPr>
      <w:r>
        <w:rPr>
          <w:rFonts w:hint="default" w:ascii="宋体" w:hAnsi="宋体" w:eastAsia="宋体" w:cs="宋体"/>
          <w:b/>
          <w:bCs/>
          <w:color w:val="auto"/>
          <w:kern w:val="2"/>
          <w:sz w:val="28"/>
          <w:szCs w:val="28"/>
          <w:lang w:eastAsia="zh-CN" w:bidi="zh-CN"/>
        </w:rPr>
        <w:t>房源明细表：</w:t>
      </w:r>
    </w:p>
    <w:tbl>
      <w:tblPr>
        <w:tblStyle w:val="9"/>
        <w:tblW w:w="13978"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2167"/>
        <w:gridCol w:w="1260"/>
        <w:gridCol w:w="1892"/>
        <w:gridCol w:w="981"/>
        <w:gridCol w:w="1315"/>
        <w:gridCol w:w="762"/>
        <w:gridCol w:w="1281"/>
        <w:gridCol w:w="2053"/>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序号</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小区名称</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所属街道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栋名称</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房号</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户型</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朝向</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建筑面积</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配租人口数</w:t>
            </w:r>
          </w:p>
        </w:tc>
        <w:tc>
          <w:tcPr>
            <w:tcW w:w="1678"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default" w:ascii="宋体" w:hAnsi="宋体" w:eastAsia="宋体" w:cs="宋体"/>
                <w:b/>
                <w:bCs/>
                <w:i w:val="0"/>
                <w:iCs w:val="0"/>
                <w:color w:val="auto"/>
                <w:kern w:val="0"/>
                <w:sz w:val="21"/>
                <w:szCs w:val="21"/>
                <w:u w:val="none"/>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华联城市全景花园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2609</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65.49</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华联城市全景花园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2411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67.65</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华联城市全景花园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0905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67.68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华联城市全景花园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0807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64.96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华联城市全景花园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0506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83.61</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华联城市全景花园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2906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83.61</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华联城市全景花园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2706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83.61</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华联城市全景花园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83.61</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华联城市全景花园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3206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83.61</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华盛盛荟名庭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86.93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华盛盛荟名庭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86.93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华盛盛荟名庭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0501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86.93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华盛盛荟名庭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2808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86.57</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华盛盛荟名庭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86.93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华盛盛荟名庭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86.93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华盛盛荟名庭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2908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86.53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华盛盛荟名庭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86.93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华盛盛荟名庭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86.53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华盛盛荟名庭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86.93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华盛盛荟名庭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86.93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君钰府</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025F</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69.65</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君钰府</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030F</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69.65</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流塘阳光花园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1栋G座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0403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83.35</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流塘阳光花园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1栋G座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0303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83.38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流塘阳光花园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1栋G座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0503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83.35</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流塘阳光花园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1栋G座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2803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83.3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流塘阳光花园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1栋G座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83.3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勤诚达乐园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12号楼</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1711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40.47</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勤诚达乐园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12号楼</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3310</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40.52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勤诚达乐园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12号楼</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2903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40.52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勤诚达乐园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12号楼</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3812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40.75</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勤诚达乐园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12号楼</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1610</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40.47</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勤诚达乐园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12号楼</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2304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40.52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勤诚达乐园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12号楼</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3501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57.52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勤诚达乐园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12号楼</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3807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68.8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天悦壹号雅轩</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56.62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天悦壹号雅轩</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2805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71.68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万科大都会家园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2栋3单元</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71.44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39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玺玥麓坊</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53.86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40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玺玥麓坊</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53.86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41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玺玥麓坊</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71.23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42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玺玥麓坊</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71.23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43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玺玥麓坊</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2406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71.23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44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招商臻府</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55.18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45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招商臻府</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69.94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46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招商臻府</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69.94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47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中粮紫云花园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0303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37.58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48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中粮紫云花园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37.58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49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中粮紫云花园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0907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37.34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50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中粮紫云花园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37.58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51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中粮紫云花园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3208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59.67</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52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中洲华府</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0608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单身公寓</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31.36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53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中洲华府</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新安街道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0917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单身公寓</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36.23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54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宝和苑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0806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59.92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55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宝和苑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59.56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56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宝和苑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59.31</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57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金环宇大厦</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2栋1单元</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613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单房</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36.13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58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金环宇大厦</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2栋1单元</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610</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单房</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36.13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59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金环宇大厦</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2栋1单元</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单房</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47.36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60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金环宇大厦</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2栋1单元</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无障碍单房</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47.36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vMerge w:val="restart"/>
            <w:noWrap w:val="0"/>
            <w:vAlign w:val="center"/>
          </w:tcPr>
          <w:p>
            <w:pPr>
              <w:spacing w:line="420" w:lineRule="exact"/>
              <w:jc w:val="center"/>
              <w:rPr>
                <w:rFonts w:hint="default" w:ascii="仿宋" w:hAnsi="仿宋" w:eastAsia="仿宋" w:cs="宋体"/>
                <w:color w:val="auto"/>
                <w:kern w:val="0"/>
                <w:sz w:val="28"/>
                <w:szCs w:val="28"/>
                <w:vertAlign w:val="baseline"/>
                <w:lang w:val="en-US" w:eastAsia="zh-CN"/>
              </w:rPr>
            </w:pPr>
            <w:r>
              <w:rPr>
                <w:rFonts w:hint="eastAsia" w:ascii="仿宋" w:hAnsi="仿宋" w:eastAsia="仿宋" w:cs="宋体"/>
                <w:color w:val="auto"/>
                <w:kern w:val="0"/>
                <w:sz w:val="28"/>
                <w:szCs w:val="28"/>
                <w:vertAlign w:val="baseline"/>
                <w:lang w:val="en-US" w:eastAsia="zh-CN"/>
              </w:rPr>
              <w:t>无障碍住房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61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金环宇大厦</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2栋1单元</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无障碍单房</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47.36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vMerge w:val="continue"/>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62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坪洲新村三期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5号楼</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1911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63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坪洲新村三期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5号楼</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2709</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49.56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64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坪洲新村三期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3号楼</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0603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58.23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65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坪洲新村三期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4号楼</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0202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58.97</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66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坪洲新村三期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2号楼</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0802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59.04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67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坪洲新村三期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2号楼</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59.04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68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坪洲新村三期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2号楼</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0705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60.13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69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坪洲新村三期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4号楼</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2503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58.23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70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坪洲新村三期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3号楼</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60.06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71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坪洲新村三期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2号楼</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58.38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72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坪洲新村三期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2号楼</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60.13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73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坪洲新村三期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2号楼</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58.38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74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坪洲新村三期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2号楼</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60.13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75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源和苑二期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F栋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0401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69.6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76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源和苑二期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F栋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0812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61.83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77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源和苑二期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F栋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0902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70.33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78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源和苑二期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F栋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0202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70.94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79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源和苑一期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C栋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69.82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80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源和苑一期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A栋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0605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59.37</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81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源和苑一期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A栋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60.12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82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源和苑一期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D栋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81.39</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83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源和苑一期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D栋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0906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80.01</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84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源和苑一期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D栋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79.99</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85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源和苑一期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D栋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0203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81.39</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86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源和苑一期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B栋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80.2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87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源和苑一期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D栋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80.67</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88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源和苑一期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D栋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0803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81.39</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89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源和苑一期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B栋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80.91</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90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源和苑一期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D栋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0903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81.39</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91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源和苑一期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D栋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0802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80.67</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92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源和苑一期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D栋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80.67</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93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源和苑一期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D栋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81.39</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94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源和苑一期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D栋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0804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81.39</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95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源和苑一期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D栋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80.01</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96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源和苑一期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西乡街道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B栋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80.91</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97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同和保馨苑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福永街道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同和保馨苑栋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0404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67.74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98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同和保馨苑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福永街道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同和保馨苑栋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0802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87.77</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99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同和保馨苑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福永街道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同和保馨苑栋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87.77</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100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华强城市花园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2405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37.12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101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华强城市花园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38.42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102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华强城市花园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37.25</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103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华强城市花园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0507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37.62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104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华强城市花园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68.69</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105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华强城市花园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67.97</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106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华强城市花园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福海街道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67.97</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107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万科翡逸郡园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C座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1210</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50.01</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108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万科星城上郡</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0604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86.13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109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万科星城上郡</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87.2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110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万科星城上郡</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87.2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111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星河荣御花苑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0402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38.09</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112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星河荣御花苑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38.09</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113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星河荣御花苑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3411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70.92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114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星河荣御花苑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3511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70.92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115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星河荣御花苑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3811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70.92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116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星河荣御花苑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0503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72.55</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117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星河荣御花苑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3101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70.87</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118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星河荣御花苑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0911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70.92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119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星河荣御花苑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3301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70.87</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120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星河荣御花苑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3611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70.92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121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星河荣御花苑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2611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70.92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122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星河荣御花苑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3211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70.92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123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星河荣御花苑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3311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70.92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124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星河荣御花苑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2109</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72.55</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125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星河荣御花苑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0903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72.55</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126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星河荣御花苑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0709</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72.55</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127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招商雍和府</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沙井街道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1栋3单元</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2408室</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71.19</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128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宝珺园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74.38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129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61.1</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130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1902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59.69</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131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59.76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132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3102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59.69</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133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84.36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134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0202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84.27</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135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2902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84.35</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136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0304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85.25</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137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0806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85.28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138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84.25</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139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84.36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140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1804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84.25</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141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85.24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142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0101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84.86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143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0201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84.26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144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0401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85.25</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145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0501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85.28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146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0601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85.28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147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0701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85.28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148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0801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85.28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149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0901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85.28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150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85.28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151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85.28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152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0301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85.28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153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0805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84.36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154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0905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84.36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155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84.36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156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1205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84.36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157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羊台苑二期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2702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84.35</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158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3栋3B座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36.03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159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0208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35.43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160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0306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35.43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161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2栋2A座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2304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35.78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162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35.54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163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0405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35.43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164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0505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35.43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165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1009</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35.42</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166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2栋2A座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0204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35.49</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167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2栋2A座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0308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35.49</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168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2栋2A座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0407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35.5</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169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2栋2A座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0804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35.78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170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2栋2A座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2708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35.78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171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2栋2A座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2907</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35.78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172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2栋2A座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3205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35.78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173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3栋3B座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0206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35.5</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174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3栋3B座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2003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36.03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175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3栋3B座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2705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36.03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176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3栋3B座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2902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36.03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177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3栋3B座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3103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36.03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178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3栋3A座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0112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49.66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179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2栋2A座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51.87</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180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3栋3A座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2413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49.28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181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3栋3A座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0516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54.48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182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3栋3A座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0715</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63.96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183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2栋2A座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1609</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65.8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184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0610</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65.5</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185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3栋3B座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2110</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66.09</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186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2栋2B座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3102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86.13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187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2栋2B座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0203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86.13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188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2栋2B座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1302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86.13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189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2栋2B座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86.13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190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2栋2B座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86.14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191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2栋2B座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1601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86.14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192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2栋2B座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1501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86.14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193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2栋2B座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0301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86.14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194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2栋2B座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2504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86.14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195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2栋2B座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1401</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86.14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196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2栋2B座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86.13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197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羊台苑一期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石岩街道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2栋2B座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3104</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86.14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198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宏发君域</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3栋C座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0702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51.83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199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联投嘉苑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007E</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69.57</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200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联投嘉苑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005B</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69.43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201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联投嘉苑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031D</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85.04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202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联投嘉苑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024F</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70.01</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203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联投嘉苑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012D</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85.04</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204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联投嘉苑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011A</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正西</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70.01</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205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联投嘉苑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004F</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70.01</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206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联投嘉苑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003F</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70.01</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207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联投嘉苑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019F</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正东</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70.01</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208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联投嘉苑</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1栋</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019C</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三房一厅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正南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85.01</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4人及以上家庭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209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满京华云著花园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1号楼B座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1113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37.23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210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满京华云著花园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1号楼B座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2613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37.23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211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满京华云著花园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1号楼B座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37.23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212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满京华云著花园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1号楼B座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1712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37.06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213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满京华云著花园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1号楼B座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0512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36.88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214</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满京华云著花园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1号楼B座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2213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37.23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215</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满京华云著花园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1号楼B座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1403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西南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37.23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216</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满京华云著花园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1号楼B座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2413</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37.23</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217</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满京华云著花园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1号楼B座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0212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36.88</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218</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满京华云著花园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1号楼B座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2412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37.06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219</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满京华云著花园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1号楼B座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2612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37.06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220</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满京华云著花园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1号楼B座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3012</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一房一厅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37.06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221</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满京华云著花园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1号楼B座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0606</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64.29</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noWrap w:val="0"/>
            <w:vAlign w:val="center"/>
          </w:tcPr>
          <w:p>
            <w:pPr>
              <w:keepNext w:val="0"/>
              <w:keepLines w:val="0"/>
              <w:widowControl/>
              <w:suppressLineNumbers w:val="0"/>
              <w:jc w:val="center"/>
              <w:textAlignment w:val="center"/>
              <w:rPr>
                <w:rFonts w:hint="eastAsia" w:ascii="仿宋" w:hAnsi="仿宋" w:eastAsia="仿宋" w:cs="宋体"/>
                <w:color w:val="auto"/>
                <w:kern w:val="0"/>
                <w:sz w:val="28"/>
                <w:szCs w:val="28"/>
                <w:vertAlign w:val="baseline"/>
              </w:rPr>
            </w:pPr>
            <w:r>
              <w:rPr>
                <w:rFonts w:hint="eastAsia" w:ascii="宋体" w:hAnsi="宋体" w:eastAsia="宋体" w:cs="宋体"/>
                <w:i w:val="0"/>
                <w:iCs w:val="0"/>
                <w:color w:val="auto"/>
                <w:kern w:val="0"/>
                <w:sz w:val="22"/>
                <w:szCs w:val="22"/>
                <w:u w:val="none"/>
                <w:lang w:val="en-US" w:eastAsia="zh-CN" w:bidi="ar"/>
              </w:rPr>
              <w:t>222</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满京华云著花园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1号楼B座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2810</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二房二厅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62.56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vertAlign w:val="baseline"/>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223</w:t>
            </w:r>
          </w:p>
        </w:tc>
        <w:tc>
          <w:tcPr>
            <w:tcW w:w="21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满京华云著花园</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松岗街道</w:t>
            </w:r>
          </w:p>
        </w:tc>
        <w:tc>
          <w:tcPr>
            <w:tcW w:w="18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1号楼B座</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2908</w:t>
            </w:r>
          </w:p>
        </w:tc>
        <w:tc>
          <w:tcPr>
            <w:tcW w:w="13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二房二厅</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东南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62.56</w:t>
            </w:r>
          </w:p>
        </w:tc>
        <w:tc>
          <w:tcPr>
            <w:tcW w:w="205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3人及以上家庭</w:t>
            </w:r>
          </w:p>
        </w:tc>
        <w:tc>
          <w:tcPr>
            <w:tcW w:w="1678" w:type="dxa"/>
            <w:noWrap w:val="0"/>
            <w:vAlign w:val="center"/>
          </w:tcPr>
          <w:p>
            <w:pPr>
              <w:spacing w:line="420" w:lineRule="exact"/>
              <w:jc w:val="center"/>
              <w:rPr>
                <w:rFonts w:hint="eastAsia" w:ascii="仿宋" w:hAnsi="仿宋" w:eastAsia="仿宋" w:cs="宋体"/>
                <w:color w:val="auto"/>
                <w:kern w:val="0"/>
                <w:sz w:val="28"/>
                <w:szCs w:val="28"/>
                <w:vertAlign w:val="baseline"/>
              </w:rPr>
            </w:pPr>
          </w:p>
        </w:tc>
      </w:tr>
    </w:tbl>
    <w:p>
      <w:pPr>
        <w:pStyle w:val="2"/>
        <w:ind w:left="0" w:leftChars="0" w:firstLine="0" w:firstLineChars="0"/>
        <w:rPr>
          <w:rFonts w:hint="eastAsia"/>
          <w:color w:val="auto"/>
        </w:rPr>
      </w:pPr>
    </w:p>
    <w:p>
      <w:pPr>
        <w:spacing w:line="420" w:lineRule="exact"/>
        <w:jc w:val="left"/>
        <w:rPr>
          <w:rFonts w:ascii="仿宋" w:hAnsi="仿宋" w:eastAsia="仿宋"/>
          <w:color w:val="auto"/>
          <w:sz w:val="28"/>
          <w:szCs w:val="28"/>
        </w:rPr>
      </w:pPr>
      <w:r>
        <w:rPr>
          <w:rFonts w:hint="eastAsia" w:ascii="仿宋" w:hAnsi="仿宋" w:eastAsia="仿宋" w:cs="宋体"/>
          <w:color w:val="auto"/>
          <w:kern w:val="0"/>
          <w:sz w:val="28"/>
          <w:szCs w:val="28"/>
        </w:rPr>
        <w:t>备注：</w:t>
      </w:r>
      <w:r>
        <w:rPr>
          <w:rFonts w:hint="default" w:ascii="仿宋" w:hAnsi="仿宋" w:eastAsia="仿宋" w:cs="仿宋"/>
          <w:color w:val="auto"/>
          <w:sz w:val="28"/>
          <w:szCs w:val="28"/>
        </w:rPr>
        <w:t>1</w:t>
      </w:r>
      <w:r>
        <w:rPr>
          <w:rFonts w:ascii="仿宋" w:hAnsi="仿宋" w:eastAsia="仿宋" w:cs="仿宋"/>
          <w:color w:val="auto"/>
          <w:sz w:val="28"/>
          <w:szCs w:val="28"/>
        </w:rPr>
        <w:t>.</w:t>
      </w:r>
      <w:r>
        <w:rPr>
          <w:rFonts w:hint="eastAsia" w:ascii="仿宋" w:hAnsi="仿宋" w:eastAsia="仿宋"/>
          <w:color w:val="auto"/>
          <w:sz w:val="28"/>
          <w:szCs w:val="28"/>
        </w:rPr>
        <w:t>以上项目住房建筑面积仅供参考，最终房源单套建筑面积以地籍测绘部门出具的测绘报告为准。</w:t>
      </w:r>
    </w:p>
    <w:p>
      <w:pPr>
        <w:spacing w:line="420" w:lineRule="exact"/>
        <w:jc w:val="left"/>
        <w:rPr>
          <w:rFonts w:hint="eastAsia"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default" w:ascii="仿宋" w:hAnsi="仿宋" w:eastAsia="仿宋"/>
          <w:color w:val="auto"/>
          <w:sz w:val="28"/>
          <w:szCs w:val="28"/>
        </w:rPr>
        <w:t xml:space="preserve"> 2</w:t>
      </w:r>
      <w:r>
        <w:rPr>
          <w:rFonts w:ascii="仿宋" w:hAnsi="仿宋" w:eastAsia="仿宋"/>
          <w:color w:val="auto"/>
          <w:sz w:val="28"/>
          <w:szCs w:val="28"/>
        </w:rPr>
        <w:t>.</w:t>
      </w:r>
      <w:r>
        <w:rPr>
          <w:rFonts w:hint="eastAsia" w:ascii="仿宋" w:hAnsi="仿宋" w:eastAsia="仿宋"/>
          <w:color w:val="auto"/>
          <w:sz w:val="28"/>
          <w:szCs w:val="28"/>
        </w:rPr>
        <w:t>以上项目住房具体租金最终以合同签订时市公共住房租金定价管理服务平台的定价为准。</w:t>
      </w:r>
    </w:p>
    <w:p>
      <w:pPr>
        <w:spacing w:line="288" w:lineRule="auto"/>
        <w:jc w:val="left"/>
        <w:rPr>
          <w:rFonts w:hint="eastAsia" w:ascii="仿宋" w:hAnsi="仿宋" w:eastAsia="仿宋" w:cs="仿宋"/>
          <w:color w:val="auto"/>
          <w:sz w:val="28"/>
          <w:szCs w:val="28"/>
        </w:rPr>
      </w:pPr>
    </w:p>
    <w:p>
      <w:pPr>
        <w:spacing w:line="288" w:lineRule="auto"/>
        <w:ind w:left="558" w:leftChars="266" w:firstLine="0" w:firstLineChars="0"/>
        <w:rPr>
          <w:color w:val="auto"/>
        </w:rPr>
      </w:pPr>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FEA1E79"/>
    <w:rsid w:val="21FB62EE"/>
    <w:rsid w:val="2BBD7F0B"/>
    <w:rsid w:val="3A4F3981"/>
    <w:rsid w:val="3B7EF4ED"/>
    <w:rsid w:val="3CFD3418"/>
    <w:rsid w:val="3D7F2DF1"/>
    <w:rsid w:val="3DFF0EBA"/>
    <w:rsid w:val="47D056BB"/>
    <w:rsid w:val="4D8E4120"/>
    <w:rsid w:val="4FF87A68"/>
    <w:rsid w:val="51BFF872"/>
    <w:rsid w:val="57BFD5A3"/>
    <w:rsid w:val="57FF05A3"/>
    <w:rsid w:val="5B6DA84D"/>
    <w:rsid w:val="5BF3C1BE"/>
    <w:rsid w:val="5EDFE408"/>
    <w:rsid w:val="61FBCCC3"/>
    <w:rsid w:val="657B4243"/>
    <w:rsid w:val="65B01131"/>
    <w:rsid w:val="66739528"/>
    <w:rsid w:val="6AE75FD9"/>
    <w:rsid w:val="6B4B6218"/>
    <w:rsid w:val="6BFFDF74"/>
    <w:rsid w:val="6EC7D839"/>
    <w:rsid w:val="6F3FD436"/>
    <w:rsid w:val="6F63D9E1"/>
    <w:rsid w:val="6FC2BBE5"/>
    <w:rsid w:val="73350F05"/>
    <w:rsid w:val="76AB608A"/>
    <w:rsid w:val="76E2AF63"/>
    <w:rsid w:val="76FDB1EA"/>
    <w:rsid w:val="76FE1523"/>
    <w:rsid w:val="775B8C5F"/>
    <w:rsid w:val="77E70359"/>
    <w:rsid w:val="77F5CAD4"/>
    <w:rsid w:val="78517831"/>
    <w:rsid w:val="79FD2FE6"/>
    <w:rsid w:val="7A1312E1"/>
    <w:rsid w:val="7AFCA859"/>
    <w:rsid w:val="7BFD55A3"/>
    <w:rsid w:val="7BFFAEBD"/>
    <w:rsid w:val="7D7FA027"/>
    <w:rsid w:val="7E37F719"/>
    <w:rsid w:val="7E3F1D5C"/>
    <w:rsid w:val="7EA750FD"/>
    <w:rsid w:val="7EDB1486"/>
    <w:rsid w:val="7F6CB272"/>
    <w:rsid w:val="7F774049"/>
    <w:rsid w:val="7F8B6C56"/>
    <w:rsid w:val="7FA954E9"/>
    <w:rsid w:val="7FAF1F12"/>
    <w:rsid w:val="7FD0DF28"/>
    <w:rsid w:val="7FD54EF6"/>
    <w:rsid w:val="7FDEB527"/>
    <w:rsid w:val="7FF979E1"/>
    <w:rsid w:val="87EA4F98"/>
    <w:rsid w:val="A71D8556"/>
    <w:rsid w:val="B7AFD92C"/>
    <w:rsid w:val="BBDF92F8"/>
    <w:rsid w:val="BE6FAC0E"/>
    <w:rsid w:val="BFD7E9FA"/>
    <w:rsid w:val="BFF8D735"/>
    <w:rsid w:val="C37F1691"/>
    <w:rsid w:val="D1BBDC8D"/>
    <w:rsid w:val="D5DFA3A1"/>
    <w:rsid w:val="D74F978D"/>
    <w:rsid w:val="D7734A85"/>
    <w:rsid w:val="DDFB3001"/>
    <w:rsid w:val="DDFFC150"/>
    <w:rsid w:val="DF5F28F8"/>
    <w:rsid w:val="DF9FB50B"/>
    <w:rsid w:val="DFDA5202"/>
    <w:rsid w:val="E37F2C5C"/>
    <w:rsid w:val="E5AEC69D"/>
    <w:rsid w:val="E5CB7421"/>
    <w:rsid w:val="E9FF70E7"/>
    <w:rsid w:val="EBCF1DA0"/>
    <w:rsid w:val="ED38EC61"/>
    <w:rsid w:val="EE3F3DEC"/>
    <w:rsid w:val="EFCD8089"/>
    <w:rsid w:val="F6FF3DA0"/>
    <w:rsid w:val="F7118069"/>
    <w:rsid w:val="F7D76023"/>
    <w:rsid w:val="F8E5CFFD"/>
    <w:rsid w:val="F9763487"/>
    <w:rsid w:val="FBF7B265"/>
    <w:rsid w:val="FBFE630C"/>
    <w:rsid w:val="FC2FF0F6"/>
    <w:rsid w:val="FC7DDA92"/>
    <w:rsid w:val="FDCFF2BC"/>
    <w:rsid w:val="FDF7528F"/>
    <w:rsid w:val="FE7F78CA"/>
    <w:rsid w:val="FEB9A640"/>
    <w:rsid w:val="FEBF426B"/>
    <w:rsid w:val="FEDFBDB0"/>
    <w:rsid w:val="FEEF0EA2"/>
    <w:rsid w:val="FF7E62E7"/>
    <w:rsid w:val="FFA38DB4"/>
    <w:rsid w:val="FFD92CCC"/>
    <w:rsid w:val="FFDBD926"/>
    <w:rsid w:val="FFFD6B53"/>
    <w:rsid w:val="FFFF9329"/>
    <w:rsid w:val="FFFFB0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560" w:lineRule="exact"/>
      <w:ind w:firstLine="420" w:firstLineChars="200"/>
    </w:pPr>
  </w:style>
  <w:style w:type="paragraph" w:styleId="4">
    <w:name w:val="Body Text"/>
    <w:basedOn w:val="1"/>
    <w:qFormat/>
    <w:uiPriority w:val="1"/>
    <w:pPr>
      <w:ind w:left="120"/>
    </w:pPr>
    <w:rPr>
      <w:rFonts w:ascii="宋体" w:hAnsi="宋体" w:eastAsia="宋体" w:cs="宋体"/>
      <w:sz w:val="28"/>
      <w:szCs w:val="28"/>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2024-11-05T19:51:00Z</dcterms:created>
  <dc:creator>杨美娜</dc:creator>
  <cp:lastModifiedBy>住房租售管理部</cp:lastModifiedBy>
  <dcterms:modified xsi:type="dcterms:W3CDTF">2025-10-13T16:05:52Z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7910E3B36D0E4BDE8178492CBFCA0FC8</vt:lpwstr>
  </property>
</Properties>
</file>