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深圳市龙华区优秀青年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资助申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 xml:space="preserve">申报单位：                           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>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>统一社会信用代码：</w:t>
      </w:r>
      <w:r>
        <w:rPr>
          <w:rFonts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 xml:space="preserve">                             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>联系电话：</w:t>
      </w:r>
    </w:p>
    <w:tbl>
      <w:tblPr>
        <w:tblStyle w:val="2"/>
        <w:tblW w:w="919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50"/>
        <w:gridCol w:w="1058"/>
        <w:gridCol w:w="1058"/>
        <w:gridCol w:w="17"/>
        <w:gridCol w:w="915"/>
        <w:gridCol w:w="578"/>
        <w:gridCol w:w="409"/>
        <w:gridCol w:w="3"/>
        <w:gridCol w:w="809"/>
        <w:gridCol w:w="289"/>
        <w:gridCol w:w="151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用人单位基</w:t>
            </w: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14"/>
                <w:kern w:val="0"/>
                <w:sz w:val="24"/>
                <w:highlight w:val="none"/>
              </w:rPr>
              <w:t>统一社会</w:t>
            </w:r>
            <w:r>
              <w:rPr>
                <w:rFonts w:ascii="宋体" w:hAnsi="宋体" w:eastAsia="仿宋_GB2312" w:cs="宋体"/>
                <w:b w:val="0"/>
                <w:bCs w:val="0"/>
                <w:color w:val="auto"/>
                <w:spacing w:val="14"/>
                <w:kern w:val="0"/>
                <w:sz w:val="24"/>
                <w:highlight w:val="none"/>
              </w:rPr>
              <w:t>信用代码</w:t>
            </w:r>
          </w:p>
        </w:tc>
        <w:tc>
          <w:tcPr>
            <w:tcW w:w="30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所属领域</w:t>
            </w:r>
          </w:p>
        </w:tc>
        <w:tc>
          <w:tcPr>
            <w:tcW w:w="769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人才</w:t>
            </w: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出生日期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</w:rPr>
              <w:t>（例：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深圳市龙华区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证件号码</w:t>
            </w:r>
          </w:p>
        </w:tc>
        <w:tc>
          <w:tcPr>
            <w:tcW w:w="3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（手机号码）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证件类型</w:t>
            </w:r>
          </w:p>
        </w:tc>
        <w:tc>
          <w:tcPr>
            <w:tcW w:w="3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深圳人才引进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日期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（申请入户补贴必填）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学历学位</w:t>
            </w:r>
          </w:p>
        </w:tc>
        <w:tc>
          <w:tcPr>
            <w:tcW w:w="3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/硕士/博士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91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院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校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入学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3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精确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</w:rPr>
              <w:t>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91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院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国别或地区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3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精确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</w:rPr>
              <w:t>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91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适用榜单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世界大学前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150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强知名院校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“双一流”建设高校及建设学科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主要学习经历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起止年月</w:t>
            </w:r>
          </w:p>
        </w:tc>
        <w:tc>
          <w:tcPr>
            <w:tcW w:w="3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所学专业</w:t>
            </w:r>
          </w:p>
        </w:tc>
        <w:tc>
          <w:tcPr>
            <w:tcW w:w="15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主要工作经历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起止年月</w:t>
            </w:r>
          </w:p>
        </w:tc>
        <w:tc>
          <w:tcPr>
            <w:tcW w:w="40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名称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职务</w:t>
            </w: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/岗位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从事行业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0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0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申报补贴或资助类型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优秀青年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人才资助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（个人）</w:t>
            </w:r>
          </w:p>
        </w:tc>
        <w:tc>
          <w:tcPr>
            <w:tcW w:w="7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入户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补贴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在职攻读博士学位补贴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第一年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英才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津贴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第二年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英才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津贴 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三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英才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津贴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专业资格认证证书奖励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第一年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成长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津贴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第二年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成长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津贴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三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成长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银行账户基本信息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银行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账号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-6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开户行</w:t>
            </w:r>
          </w:p>
        </w:tc>
        <w:tc>
          <w:tcPr>
            <w:tcW w:w="31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（精确到支行）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-6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银行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账号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-6"/>
                <w:kern w:val="0"/>
                <w:sz w:val="24"/>
                <w:highlight w:val="none"/>
              </w:rPr>
              <w:t>户名</w:t>
            </w:r>
          </w:p>
        </w:tc>
        <w:tc>
          <w:tcPr>
            <w:tcW w:w="26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银行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账号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-6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号码</w:t>
            </w:r>
          </w:p>
        </w:tc>
        <w:tc>
          <w:tcPr>
            <w:tcW w:w="769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申报人声明</w:t>
            </w:r>
          </w:p>
        </w:tc>
        <w:tc>
          <w:tcPr>
            <w:tcW w:w="769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证件号码：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），本人提供的所有信息资料全部属实，如有虚假，责任概由本人承担，特此声明。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left"/>
              <w:textAlignment w:val="auto"/>
              <w:rPr>
                <w:rFonts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申报人签名（手写）：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年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区用人单位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69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本单位对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申请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提供材料的真实性、准确性、完整性负责，如有虚假，本单位依法承担相应的法律责任。现同意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该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申请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申请区优秀青年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人才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资助。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年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 w:firstLine="5760" w:firstLineChars="24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（加盖公章）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填表说明：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1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港澳台籍的户口所在地填写香港/澳门/台湾。</w:t>
      </w:r>
    </w:p>
    <w:p>
      <w:pPr>
        <w:wordWrap w:val="0"/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2.深圳人才引进日期以引进审核文件签发日期为准。</w:t>
      </w:r>
    </w:p>
    <w:p>
      <w:pPr>
        <w:spacing w:line="340" w:lineRule="exact"/>
        <w:ind w:firstLine="480" w:firstLineChars="200"/>
        <w:rPr>
          <w:rStyle w:val="4"/>
          <w:rFonts w:ascii="仿宋_GB2312" w:hAnsi="仿宋_GB2312" w:eastAsia="仿宋_GB2312" w:cs="仿宋_GB2312"/>
          <w:color w:val="auto"/>
          <w:sz w:val="24"/>
          <w:highlight w:val="none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3</w:t>
      </w:r>
      <w:r>
        <w:rPr>
          <w:rStyle w:val="4"/>
          <w:rFonts w:hint="eastAsia" w:ascii="仿宋_GB2312" w:hAnsi="仿宋_GB2312" w:eastAsia="仿宋_GB2312" w:cs="仿宋_GB2312"/>
          <w:color w:val="auto"/>
          <w:sz w:val="24"/>
          <w:highlight w:val="none"/>
        </w:rPr>
        <w:t>.</w:t>
      </w:r>
      <w:r>
        <w:rPr>
          <w:rStyle w:val="4"/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单位所属领域</w:t>
      </w:r>
      <w:r>
        <w:rPr>
          <w:rStyle w:val="4"/>
          <w:rFonts w:hint="eastAsia" w:ascii="仿宋_GB2312" w:hAnsi="仿宋_GB2312" w:eastAsia="仿宋_GB2312" w:cs="仿宋_GB2312"/>
          <w:color w:val="auto"/>
          <w:sz w:val="24"/>
          <w:highlight w:val="none"/>
        </w:rPr>
        <w:t>按下列填写：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）医疗卫生领域：医疗机构、公共卫生机构；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）教育领域：学校；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）哲学社会科学领域：哲学社会科学研究机构、党政部门所属研究机构、党校行政学院；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战略性新兴产业：新能源、半导体与集成电路、安全节能环保、生物医药、高端医疗器械、大健康、高性能材料、网络与通信、超高清视频显示、智能终端、智能传感器、软件与信息服务、机器人、智能网联汽车、高端装备与仪器、数字创意、海洋、人工智能、低空经济与空天、现代时尚；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）未来产业：合成生物、光载信息、智能机器人、细胞与基因、脑科学与脑机工程、深地深海、量子信息、前沿新材料；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现代服务业：信息传输服务、信息技术服务、信息技术服务外包、科学研究和技术服务业、金融业、现代物流服务业、互联网批发零售、法律服务、会计服务（会计师事务所）、资产评估服务（资产评估机构）、涉税服务、社会经济咨询、人力资源服务、信用服务、现代育幼服务、会展服务、广告服务、旅游服务、知识产权服务、检验检测认证标准计量服务、供应链管理服务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）不在上述行业分类的，请按照国民经济行业分类填写。</w:t>
      </w:r>
    </w:p>
    <w:p>
      <w:pPr>
        <w:spacing w:line="340" w:lineRule="exact"/>
        <w:ind w:firstLine="480" w:firstLineChars="200"/>
        <w:rPr>
          <w:rStyle w:val="4"/>
          <w:rFonts w:ascii="仿宋_GB2312" w:hAnsi="仿宋_GB2312" w:eastAsia="仿宋_GB2312" w:cs="仿宋_GB2312"/>
          <w:sz w:val="24"/>
          <w:highlight w:val="none"/>
        </w:rPr>
      </w:pPr>
      <w:r>
        <w:rPr>
          <w:rStyle w:val="4"/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4</w:t>
      </w:r>
      <w:r>
        <w:rPr>
          <w:rStyle w:val="4"/>
          <w:rFonts w:hint="eastAsia" w:ascii="仿宋_GB2312" w:hAnsi="仿宋_GB2312" w:eastAsia="仿宋_GB2312" w:cs="仿宋_GB2312"/>
          <w:sz w:val="24"/>
          <w:highlight w:val="none"/>
        </w:rPr>
        <w:t>.从事行业分类按下列填写：</w:t>
      </w:r>
    </w:p>
    <w:p>
      <w:pPr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（1）数字产业化：工业互联网、区块链、人工智能、集成电路；</w:t>
      </w:r>
    </w:p>
    <w:p>
      <w:pPr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（2）产业数字化：新型显示、智能制造装备、消费互联网、时尚创意、数字文化、生命健康；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（</w:t>
      </w:r>
      <w:r>
        <w:rPr>
          <w:rFonts w:ascii="仿宋_GB2312" w:hAnsi="仿宋_GB2312" w:eastAsia="仿宋_GB2312" w:cs="仿宋_GB2312"/>
          <w:sz w:val="24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）不在上述行业分类的，请按照国民经济行业分类填写。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所有材料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加盖申报单位公章。</w:t>
      </w:r>
    </w:p>
    <w:p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18"/>
          <w:highlight w:val="none"/>
          <w:lang w:val="en-US" w:eastAsia="zh-CN"/>
        </w:rPr>
        <w:t>6.根据税法相关规定，该项补贴不属于税法所规定的免税范畴，须按“偶然所得”项目征收个人所得税，由发放单位代扣代缴。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B6F75"/>
    <w:rsid w:val="FF7B6F75"/>
    <w:rsid w:val="FFE4E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2025-08-15T17:11:00Z</dcterms:created>
  <dc:creator>lzy</dc:creator>
  <cp:lastModifiedBy>lzy</cp:lastModifiedBy>
  <dcterms:modified xsi:type="dcterms:W3CDTF">2025-08-15T17:12:04Z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D12C536C8011F2F4BBF99E681E942AD0</vt:lpwstr>
  </property>
</Properties>
</file>