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numPr>
          <w:ilvl w:val="0"/>
          <w:numId w:val="0"/>
        </w:numPr>
        <w:kinsoku/>
        <w:wordWrap w:val="0"/>
        <w:overflowPunct/>
        <w:topLinePunct w:val="0"/>
        <w:autoSpaceDE/>
        <w:autoSpaceDN/>
        <w:bidi w:val="0"/>
        <w:adjustRightInd/>
        <w:snapToGrid/>
        <w:spacing w:beforeLines="0" w:afterLines="0" w:line="240" w:lineRule="auto"/>
        <w:jc w:val="left"/>
        <w:textAlignment w:val="auto"/>
        <w:rPr>
          <w:rFonts w:hint="eastAsia" w:ascii="黑体" w:hAnsi="黑体" w:eastAsia="黑体" w:cs="黑体"/>
          <w:sz w:val="32"/>
          <w:szCs w:val="32"/>
          <w:highlight w:val="none"/>
          <w:u w:val="none"/>
          <w:lang w:val="en-US" w:eastAsia="zh-CN"/>
        </w:rPr>
      </w:pPr>
      <w:r>
        <w:rPr>
          <w:rFonts w:hint="eastAsia" w:ascii="黑体" w:hAnsi="黑体" w:eastAsia="黑体" w:cs="黑体"/>
          <w:sz w:val="32"/>
          <w:szCs w:val="32"/>
          <w:highlight w:val="none"/>
          <w:u w:val="none"/>
          <w:lang w:eastAsia="zh-CN"/>
        </w:rPr>
        <w:t>附件</w:t>
      </w:r>
      <w:r>
        <w:rPr>
          <w:rFonts w:hint="eastAsia" w:ascii="黑体" w:hAnsi="黑体" w:eastAsia="黑体" w:cs="黑体"/>
          <w:sz w:val="32"/>
          <w:szCs w:val="32"/>
          <w:highlight w:val="none"/>
          <w:u w:val="none"/>
          <w:lang w:val="en-US" w:eastAsia="zh-CN"/>
        </w:rPr>
        <w:t>1</w:t>
      </w: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方正小标宋_GBK" w:hAnsi="方正小标宋_GBK" w:eastAsia="方正小标宋_GBK" w:cs="方正小标宋_GBK"/>
          <w:sz w:val="44"/>
          <w:szCs w:val="44"/>
          <w:highlight w:val="none"/>
          <w:u w:val="none"/>
          <w:lang w:eastAsia="zh-CN"/>
        </w:rPr>
      </w:pPr>
      <w:r>
        <w:rPr>
          <w:rFonts w:hint="eastAsia" w:ascii="方正小标宋_GBK" w:hAnsi="方正小标宋_GBK" w:eastAsia="方正小标宋_GBK" w:cs="方正小标宋_GBK"/>
          <w:sz w:val="44"/>
          <w:szCs w:val="44"/>
          <w:highlight w:val="none"/>
          <w:u w:val="none"/>
          <w:lang w:eastAsia="zh-CN"/>
        </w:rPr>
        <w:t>关于</w:t>
      </w:r>
      <w:r>
        <w:rPr>
          <w:rFonts w:hint="eastAsia" w:ascii="方正小标宋_GBK" w:hAnsi="方正小标宋_GBK" w:eastAsia="方正小标宋_GBK" w:cs="方正小标宋_GBK"/>
          <w:sz w:val="44"/>
          <w:szCs w:val="44"/>
          <w:highlight w:val="none"/>
          <w:u w:val="none"/>
          <w:lang w:val="en-US" w:eastAsia="zh-CN"/>
        </w:rPr>
        <w:t>支持</w:t>
      </w:r>
      <w:r>
        <w:rPr>
          <w:rFonts w:hint="eastAsia" w:ascii="方正小标宋_GBK" w:hAnsi="方正小标宋_GBK" w:eastAsia="方正小标宋_GBK" w:cs="方正小标宋_GBK"/>
          <w:sz w:val="44"/>
          <w:szCs w:val="44"/>
          <w:highlight w:val="none"/>
          <w:u w:val="none"/>
          <w:lang w:eastAsia="zh-CN"/>
        </w:rPr>
        <w:t>装修住房提取住房公积金</w:t>
      </w: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方正小标宋_GBK" w:hAnsi="方正小标宋_GBK" w:eastAsia="方正小标宋_GBK" w:cs="方正小标宋_GBK"/>
          <w:sz w:val="44"/>
          <w:szCs w:val="44"/>
          <w:highlight w:val="none"/>
          <w:u w:val="none"/>
          <w:lang w:val="en-US" w:eastAsia="zh-CN"/>
        </w:rPr>
      </w:pPr>
      <w:r>
        <w:rPr>
          <w:rFonts w:hint="eastAsia" w:ascii="方正小标宋_GBK" w:hAnsi="方正小标宋_GBK" w:eastAsia="方正小标宋_GBK" w:cs="方正小标宋_GBK"/>
          <w:sz w:val="44"/>
          <w:szCs w:val="44"/>
          <w:highlight w:val="none"/>
          <w:u w:val="none"/>
          <w:lang w:val="en-US" w:eastAsia="zh-CN"/>
        </w:rPr>
        <w:t>等</w:t>
      </w:r>
      <w:r>
        <w:rPr>
          <w:rFonts w:hint="eastAsia" w:ascii="方正小标宋_GBK" w:hAnsi="方正小标宋_GBK" w:eastAsia="方正小标宋_GBK" w:cs="方正小标宋_GBK"/>
          <w:sz w:val="44"/>
          <w:szCs w:val="44"/>
          <w:highlight w:val="none"/>
          <w:u w:val="none"/>
          <w:lang w:eastAsia="zh-CN"/>
        </w:rPr>
        <w:t>有关事项</w:t>
      </w:r>
      <w:r>
        <w:rPr>
          <w:rFonts w:hint="eastAsia" w:ascii="方正小标宋_GBK" w:hAnsi="方正小标宋_GBK" w:eastAsia="方正小标宋_GBK" w:cs="方正小标宋_GBK"/>
          <w:sz w:val="44"/>
          <w:szCs w:val="44"/>
          <w:highlight w:val="none"/>
          <w:u w:val="none"/>
          <w:lang w:val="en-US" w:eastAsia="zh-CN"/>
        </w:rPr>
        <w:t>的通知</w:t>
      </w: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楷体_GB2312" w:hAnsi="楷体_GB2312" w:eastAsia="楷体_GB2312" w:cs="楷体_GB2312"/>
          <w:sz w:val="32"/>
          <w:szCs w:val="32"/>
          <w:highlight w:val="none"/>
          <w:u w:val="none"/>
          <w:lang w:val="en-US" w:eastAsia="zh-CN"/>
        </w:rPr>
      </w:pPr>
      <w:r>
        <w:rPr>
          <w:rFonts w:hint="eastAsia" w:ascii="楷体_GB2312" w:hAnsi="楷体_GB2312" w:eastAsia="楷体_GB2312" w:cs="楷体_GB2312"/>
          <w:sz w:val="32"/>
          <w:szCs w:val="32"/>
          <w:lang w:val="en-US" w:eastAsia="zh-CN"/>
        </w:rPr>
        <w:t>（征求意见稿）</w:t>
      </w:r>
    </w:p>
    <w:p>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仿宋_GB2312" w:hAnsi="仿宋_GB2312" w:eastAsia="仿宋_GB2312" w:cs="仿宋_GB2312"/>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各有关单位、住房公积金缴存职工：</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为了进一步加大对我市住房公积金缴存职工（以下简称职工）住房消费的支持力度，根据国务院</w:t>
      </w:r>
      <w:r>
        <w:rPr>
          <w:rFonts w:hint="eastAsia" w:ascii="仿宋_GB2312" w:hAnsi="仿宋_GB2312" w:eastAsia="仿宋_GB2312" w:cs="仿宋_GB2312"/>
          <w:sz w:val="32"/>
          <w:szCs w:val="32"/>
          <w:lang w:val="en-US" w:eastAsia="zh-CN"/>
        </w:rPr>
        <w:t>《住房公积金管理条例》和</w:t>
      </w:r>
      <w:r>
        <w:rPr>
          <w:rFonts w:hint="eastAsia" w:ascii="仿宋_GB2312" w:hAnsi="仿宋_GB2312" w:eastAsia="仿宋_GB2312" w:cs="仿宋_GB2312"/>
          <w:sz w:val="32"/>
          <w:szCs w:val="32"/>
          <w:highlight w:val="none"/>
          <w:u w:val="none"/>
          <w:lang w:val="en-US" w:eastAsia="zh-CN"/>
        </w:rPr>
        <w:t>《深圳市住房公积金提取管理规定》等相关规定，结合我市实际，现就有关事项通知如下：</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黑体" w:hAnsi="黑体" w:eastAsia="黑体" w:cs="黑体"/>
          <w:b w:val="0"/>
          <w:bCs w:val="0"/>
          <w:sz w:val="32"/>
          <w:szCs w:val="32"/>
          <w:highlight w:val="none"/>
          <w:u w:val="none"/>
          <w:lang w:val="en-US" w:eastAsia="zh-CN"/>
        </w:rPr>
      </w:pPr>
      <w:r>
        <w:rPr>
          <w:rFonts w:hint="eastAsia" w:ascii="黑体" w:hAnsi="黑体" w:eastAsia="黑体" w:cs="黑体"/>
          <w:b w:val="0"/>
          <w:bCs w:val="0"/>
          <w:sz w:val="32"/>
          <w:szCs w:val="32"/>
          <w:highlight w:val="none"/>
          <w:u w:val="none"/>
          <w:lang w:val="en-US" w:eastAsia="zh-CN"/>
        </w:rPr>
        <w:t>一、增设装修住房提取情形</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楷体_GB2312" w:cs="仿宋_GB2312"/>
          <w:b w:val="0"/>
          <w:bCs w:val="0"/>
          <w:sz w:val="32"/>
          <w:szCs w:val="32"/>
          <w:highlight w:val="none"/>
          <w:u w:val="none"/>
          <w:lang w:val="en-US" w:eastAsia="zh-CN"/>
        </w:rPr>
        <w:t>（一）提取条件及频次。</w:t>
      </w:r>
      <w:r>
        <w:rPr>
          <w:rFonts w:hint="eastAsia" w:ascii="仿宋_GB2312" w:hAnsi="仿宋_GB2312" w:eastAsia="仿宋_GB2312" w:cs="仿宋_GB2312"/>
          <w:b w:val="0"/>
          <w:bCs w:val="0"/>
          <w:sz w:val="32"/>
          <w:szCs w:val="32"/>
          <w:highlight w:val="none"/>
          <w:u w:val="none"/>
          <w:lang w:val="en-US" w:eastAsia="zh-CN"/>
        </w:rPr>
        <w:t>职工及家庭成员可以申请提取住房公积金用于装修其在本市范围内拥有的住房。申请提取时应当同时满足以下条件：</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val="0"/>
          <w:bCs w:val="0"/>
          <w:sz w:val="32"/>
          <w:szCs w:val="32"/>
          <w:highlight w:val="none"/>
          <w:u w:val="none"/>
          <w:lang w:val="en-US" w:eastAsia="zh-CN"/>
        </w:rPr>
        <w:t>1.取得不动产权属证书或者购房合同网签备案满六个月；</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default"/>
          <w:lang w:val="en-US" w:eastAsia="zh-CN"/>
        </w:rPr>
      </w:pPr>
      <w:r>
        <w:rPr>
          <w:rFonts w:hint="eastAsia" w:ascii="仿宋_GB2312" w:hAnsi="仿宋_GB2312" w:eastAsia="仿宋_GB2312" w:cs="仿宋_GB2312"/>
          <w:b w:val="0"/>
          <w:bCs w:val="0"/>
          <w:sz w:val="32"/>
          <w:szCs w:val="32"/>
          <w:highlight w:val="none"/>
          <w:u w:val="none"/>
          <w:lang w:val="en-US" w:eastAsia="zh-CN"/>
        </w:rPr>
        <w:t>2.住房装修完工在两年内（装修完工发生在2026年9月20日之后）。</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val="0"/>
          <w:bCs w:val="0"/>
          <w:sz w:val="32"/>
          <w:szCs w:val="32"/>
          <w:highlight w:val="none"/>
          <w:u w:val="none"/>
          <w:lang w:val="en-US" w:eastAsia="zh-CN"/>
        </w:rPr>
        <w:t>职工及家庭成员拥有多套住房的，仅能就其中一套住房申请同时提取一次；再次申请提取的，两次提取的时间应当间隔满十年。</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default"/>
          <w:lang w:val="en-US" w:eastAsia="zh-CN"/>
        </w:rPr>
      </w:pPr>
      <w:r>
        <w:rPr>
          <w:rFonts w:hint="eastAsia" w:ascii="仿宋_GB2312" w:hAnsi="仿宋_GB2312" w:eastAsia="楷体_GB2312" w:cs="仿宋_GB2312"/>
          <w:b w:val="0"/>
          <w:bCs w:val="0"/>
          <w:sz w:val="32"/>
          <w:szCs w:val="32"/>
          <w:highlight w:val="none"/>
          <w:u w:val="none"/>
          <w:lang w:val="en-US" w:eastAsia="zh-CN"/>
        </w:rPr>
        <w:t>（二）提取额度及材料。</w:t>
      </w:r>
      <w:r>
        <w:rPr>
          <w:rFonts w:hint="eastAsia" w:ascii="仿宋_GB2312" w:hAnsi="仿宋_GB2312" w:eastAsia="仿宋_GB2312" w:cs="仿宋_GB2312"/>
          <w:b w:val="0"/>
          <w:bCs w:val="0"/>
          <w:sz w:val="32"/>
          <w:szCs w:val="32"/>
          <w:highlight w:val="none"/>
          <w:u w:val="none"/>
          <w:lang w:eastAsia="zh-CN"/>
        </w:rPr>
        <w:t>职工及家庭成员凭</w:t>
      </w:r>
      <w:r>
        <w:rPr>
          <w:rFonts w:hint="eastAsia" w:ascii="仿宋_GB2312" w:hAnsi="仿宋_GB2312" w:eastAsia="仿宋_GB2312" w:cs="仿宋_GB2312"/>
          <w:b w:val="0"/>
          <w:bCs w:val="0"/>
          <w:sz w:val="32"/>
          <w:szCs w:val="32"/>
          <w:highlight w:val="none"/>
          <w:u w:val="none"/>
          <w:lang w:val="en-US" w:eastAsia="zh-CN"/>
        </w:rPr>
        <w:t>具备建筑装修装饰工程专业承包资质的企业开具的房屋装修装饰增值税发票申请提取的，可提取额不超过发票金额；无法提供前述发票的，可以</w:t>
      </w:r>
      <w:r>
        <w:rPr>
          <w:rFonts w:hint="eastAsia" w:ascii="仿宋_GB2312" w:hAnsi="仿宋_GB2312" w:eastAsia="仿宋_GB2312" w:cs="仿宋_GB2312"/>
          <w:b w:val="0"/>
          <w:bCs w:val="0"/>
          <w:sz w:val="32"/>
          <w:szCs w:val="32"/>
          <w:highlight w:val="none"/>
          <w:u w:val="none"/>
          <w:lang w:eastAsia="zh-CN"/>
        </w:rPr>
        <w:t>按照</w:t>
      </w:r>
      <w:r>
        <w:rPr>
          <w:rFonts w:hint="eastAsia" w:ascii="仿宋_GB2312" w:hAnsi="仿宋_GB2312" w:eastAsia="仿宋_GB2312" w:cs="仿宋_GB2312"/>
          <w:b w:val="0"/>
          <w:bCs w:val="0"/>
          <w:sz w:val="32"/>
          <w:szCs w:val="32"/>
          <w:highlight w:val="none"/>
          <w:u w:val="none"/>
          <w:lang w:val="en-US" w:eastAsia="zh-CN"/>
        </w:rPr>
        <w:t>装修住房实际支出申请提取，可提取额不超过住房建筑面积×1800元/</w:t>
      </w:r>
      <w:r>
        <w:rPr>
          <w:rFonts w:hint="eastAsia" w:ascii="宋体" w:hAnsi="宋体" w:eastAsia="宋体" w:cs="宋体"/>
          <w:b w:val="0"/>
          <w:bCs w:val="0"/>
          <w:sz w:val="32"/>
          <w:szCs w:val="32"/>
          <w:highlight w:val="none"/>
          <w:u w:val="none"/>
          <w:lang w:val="en-US" w:eastAsia="zh-CN"/>
        </w:rPr>
        <w:t>㎡</w:t>
      </w:r>
      <w:r>
        <w:rPr>
          <w:rFonts w:hint="eastAsia" w:ascii="仿宋_GB2312" w:hAnsi="仿宋_GB2312" w:eastAsia="仿宋_GB2312" w:cs="仿宋_GB2312"/>
          <w:b w:val="0"/>
          <w:bCs w:val="0"/>
          <w:sz w:val="32"/>
          <w:szCs w:val="32"/>
          <w:highlight w:val="none"/>
          <w:u w:val="none"/>
          <w:lang w:val="en-US" w:eastAsia="zh-CN"/>
        </w:rPr>
        <w:t>。按照前述方式申请提取的，每套住房每次申请提取的可提取额均不超过25万元。</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val="0"/>
          <w:bCs w:val="0"/>
          <w:sz w:val="32"/>
          <w:szCs w:val="32"/>
          <w:highlight w:val="none"/>
          <w:u w:val="none"/>
          <w:lang w:val="en-US" w:eastAsia="zh-CN"/>
        </w:rPr>
        <w:t>职工及家庭成员按照本条规定申请提取的，除应当提交符合本条前述要求涉及的材料外，还应当提交</w:t>
      </w:r>
      <w:r>
        <w:rPr>
          <w:rFonts w:hint="default" w:ascii="仿宋_GB2312" w:hAnsi="仿宋_GB2312" w:eastAsia="仿宋_GB2312" w:cs="仿宋_GB2312"/>
          <w:b w:val="0"/>
          <w:bCs w:val="0"/>
          <w:sz w:val="32"/>
          <w:szCs w:val="32"/>
          <w:highlight w:val="none"/>
          <w:u w:val="none"/>
          <w:lang w:val="en-US" w:eastAsia="zh-CN"/>
        </w:rPr>
        <w:t>经有关部门</w:t>
      </w:r>
      <w:r>
        <w:rPr>
          <w:rFonts w:hint="eastAsia" w:ascii="仿宋_GB2312" w:hAnsi="仿宋_GB2312" w:eastAsia="仿宋_GB2312" w:cs="仿宋_GB2312"/>
          <w:b w:val="0"/>
          <w:bCs w:val="0"/>
          <w:sz w:val="32"/>
          <w:szCs w:val="32"/>
          <w:highlight w:val="none"/>
          <w:u w:val="none"/>
          <w:lang w:val="en-US" w:eastAsia="zh-CN"/>
        </w:rPr>
        <w:t>受理</w:t>
      </w:r>
      <w:r>
        <w:rPr>
          <w:rFonts w:hint="default" w:ascii="仿宋_GB2312" w:hAnsi="仿宋_GB2312" w:eastAsia="仿宋_GB2312" w:cs="仿宋_GB2312"/>
          <w:b w:val="0"/>
          <w:bCs w:val="0"/>
          <w:sz w:val="32"/>
          <w:szCs w:val="32"/>
          <w:highlight w:val="none"/>
          <w:u w:val="none"/>
          <w:lang w:val="en-US" w:eastAsia="zh-CN"/>
        </w:rPr>
        <w:t>的</w:t>
      </w:r>
      <w:r>
        <w:rPr>
          <w:rFonts w:hint="eastAsia" w:ascii="仿宋_GB2312" w:hAnsi="仿宋_GB2312" w:eastAsia="仿宋_GB2312" w:cs="仿宋_GB2312"/>
          <w:b w:val="0"/>
          <w:bCs w:val="0"/>
          <w:sz w:val="32"/>
          <w:szCs w:val="32"/>
          <w:highlight w:val="none"/>
          <w:u w:val="none"/>
          <w:lang w:val="en-US" w:eastAsia="zh-CN"/>
        </w:rPr>
        <w:t>装修</w:t>
      </w:r>
      <w:r>
        <w:rPr>
          <w:rFonts w:hint="default" w:ascii="仿宋_GB2312" w:hAnsi="仿宋_GB2312" w:eastAsia="仿宋_GB2312" w:cs="仿宋_GB2312"/>
          <w:b w:val="0"/>
          <w:bCs w:val="0"/>
          <w:sz w:val="32"/>
          <w:szCs w:val="32"/>
          <w:highlight w:val="none"/>
          <w:u w:val="none"/>
          <w:lang w:val="en-US" w:eastAsia="zh-CN"/>
        </w:rPr>
        <w:t>工程申报</w:t>
      </w:r>
      <w:r>
        <w:rPr>
          <w:rFonts w:hint="eastAsia" w:ascii="仿宋_GB2312" w:hAnsi="仿宋_GB2312" w:eastAsia="仿宋_GB2312" w:cs="仿宋_GB2312"/>
          <w:b w:val="0"/>
          <w:bCs w:val="0"/>
          <w:sz w:val="32"/>
          <w:szCs w:val="32"/>
          <w:highlight w:val="none"/>
          <w:u w:val="none"/>
          <w:lang w:val="en-US" w:eastAsia="zh-CN"/>
        </w:rPr>
        <w:t>登记</w:t>
      </w:r>
      <w:r>
        <w:rPr>
          <w:rFonts w:hint="default" w:ascii="仿宋_GB2312" w:hAnsi="仿宋_GB2312" w:eastAsia="仿宋_GB2312" w:cs="仿宋_GB2312"/>
          <w:b w:val="0"/>
          <w:bCs w:val="0"/>
          <w:sz w:val="32"/>
          <w:szCs w:val="32"/>
          <w:highlight w:val="none"/>
          <w:u w:val="none"/>
          <w:lang w:val="en-US" w:eastAsia="zh-CN"/>
        </w:rPr>
        <w:t>及</w:t>
      </w:r>
      <w:r>
        <w:rPr>
          <w:rFonts w:hint="eastAsia" w:ascii="仿宋_GB2312" w:hAnsi="仿宋_GB2312" w:eastAsia="仿宋_GB2312" w:cs="仿宋_GB2312"/>
          <w:b w:val="0"/>
          <w:bCs w:val="0"/>
          <w:sz w:val="32"/>
          <w:szCs w:val="32"/>
          <w:highlight w:val="none"/>
          <w:u w:val="none"/>
          <w:lang w:val="en-US" w:eastAsia="zh-CN"/>
        </w:rPr>
        <w:t>完工</w:t>
      </w:r>
      <w:r>
        <w:rPr>
          <w:rFonts w:hint="default" w:ascii="仿宋_GB2312" w:hAnsi="仿宋_GB2312" w:eastAsia="仿宋_GB2312" w:cs="仿宋_GB2312"/>
          <w:b w:val="0"/>
          <w:bCs w:val="0"/>
          <w:sz w:val="32"/>
          <w:szCs w:val="32"/>
          <w:highlight w:val="none"/>
          <w:u w:val="none"/>
          <w:lang w:val="en-US" w:eastAsia="zh-CN"/>
        </w:rPr>
        <w:t>注销</w:t>
      </w:r>
      <w:r>
        <w:rPr>
          <w:rFonts w:hint="eastAsia" w:ascii="仿宋_GB2312" w:hAnsi="仿宋_GB2312" w:eastAsia="仿宋_GB2312" w:cs="仿宋_GB2312"/>
          <w:b w:val="0"/>
          <w:bCs w:val="0"/>
          <w:sz w:val="32"/>
          <w:szCs w:val="32"/>
          <w:highlight w:val="none"/>
          <w:u w:val="none"/>
          <w:lang w:val="en-US" w:eastAsia="zh-CN"/>
        </w:rPr>
        <w:t>等相关材料。</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firstLine="640" w:firstLineChars="200"/>
        <w:textAlignment w:val="auto"/>
        <w:rPr>
          <w:rFonts w:hint="eastAsia" w:ascii="黑体" w:hAnsi="黑体" w:eastAsia="黑体" w:cs="黑体"/>
          <w:b w:val="0"/>
          <w:bCs w:val="0"/>
          <w:sz w:val="32"/>
          <w:szCs w:val="32"/>
          <w:highlight w:val="none"/>
          <w:u w:val="none"/>
          <w:lang w:eastAsia="zh-CN"/>
        </w:rPr>
      </w:pPr>
      <w:r>
        <w:rPr>
          <w:rFonts w:hint="eastAsia" w:ascii="黑体" w:hAnsi="黑体" w:eastAsia="黑体" w:cs="黑体"/>
          <w:sz w:val="32"/>
          <w:szCs w:val="32"/>
          <w:highlight w:val="none"/>
          <w:u w:val="none"/>
          <w:lang w:eastAsia="zh-CN"/>
        </w:rPr>
        <w:t>二</w:t>
      </w:r>
      <w:r>
        <w:rPr>
          <w:rFonts w:hint="eastAsia" w:ascii="黑体" w:hAnsi="黑体" w:eastAsia="黑体" w:cs="黑体"/>
          <w:b w:val="0"/>
          <w:bCs w:val="0"/>
          <w:sz w:val="32"/>
          <w:szCs w:val="32"/>
          <w:highlight w:val="none"/>
          <w:u w:val="none"/>
          <w:lang w:val="en-US" w:eastAsia="zh-CN"/>
        </w:rPr>
        <w:t>、</w:t>
      </w:r>
      <w:r>
        <w:rPr>
          <w:rFonts w:hint="eastAsia" w:ascii="黑体" w:hAnsi="黑体" w:eastAsia="黑体" w:cs="黑体"/>
          <w:sz w:val="32"/>
          <w:szCs w:val="32"/>
          <w:highlight w:val="none"/>
          <w:u w:val="none"/>
          <w:lang w:val="en-US" w:eastAsia="zh-CN"/>
        </w:rPr>
        <w:t>单列支付住房物业费</w:t>
      </w:r>
      <w:r>
        <w:rPr>
          <w:rFonts w:hint="eastAsia" w:ascii="黑体" w:hAnsi="黑体" w:eastAsia="黑体" w:cs="黑体"/>
          <w:b w:val="0"/>
          <w:bCs w:val="0"/>
          <w:sz w:val="32"/>
          <w:szCs w:val="32"/>
          <w:highlight w:val="none"/>
          <w:u w:val="none"/>
          <w:lang w:val="en-US" w:eastAsia="zh-CN"/>
        </w:rPr>
        <w:t>提取情形</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楷体_GB2312" w:cs="仿宋_GB2312"/>
          <w:b w:val="0"/>
          <w:bCs w:val="0"/>
          <w:sz w:val="32"/>
          <w:szCs w:val="32"/>
          <w:highlight w:val="none"/>
          <w:u w:val="none"/>
          <w:lang w:eastAsia="zh-CN"/>
        </w:rPr>
        <w:t>（一）提取</w:t>
      </w:r>
      <w:r>
        <w:rPr>
          <w:rFonts w:hint="eastAsia" w:ascii="仿宋_GB2312" w:hAnsi="仿宋_GB2312" w:eastAsia="楷体_GB2312" w:cs="仿宋_GB2312"/>
          <w:b w:val="0"/>
          <w:bCs w:val="0"/>
          <w:sz w:val="32"/>
          <w:szCs w:val="32"/>
          <w:highlight w:val="none"/>
          <w:u w:val="none"/>
          <w:lang w:val="en-US" w:eastAsia="zh-CN"/>
        </w:rPr>
        <w:t>条件</w:t>
      </w:r>
      <w:r>
        <w:rPr>
          <w:rFonts w:hint="eastAsia" w:ascii="仿宋_GB2312" w:hAnsi="仿宋_GB2312" w:eastAsia="楷体_GB2312" w:cs="仿宋_GB2312"/>
          <w:b w:val="0"/>
          <w:bCs w:val="0"/>
          <w:sz w:val="32"/>
          <w:szCs w:val="32"/>
          <w:highlight w:val="none"/>
          <w:u w:val="none"/>
          <w:lang w:eastAsia="zh-CN"/>
        </w:rPr>
        <w:t>及额度。</w:t>
      </w:r>
      <w:r>
        <w:rPr>
          <w:rFonts w:hint="eastAsia" w:ascii="仿宋_GB2312" w:hAnsi="仿宋_GB2312" w:eastAsia="仿宋_GB2312" w:cs="仿宋_GB2312"/>
          <w:b w:val="0"/>
          <w:bCs w:val="0"/>
          <w:sz w:val="32"/>
          <w:szCs w:val="32"/>
          <w:highlight w:val="none"/>
          <w:u w:val="none"/>
          <w:lang w:eastAsia="zh-CN"/>
        </w:rPr>
        <w:t>职工及家庭成员</w:t>
      </w:r>
      <w:r>
        <w:rPr>
          <w:rFonts w:hint="eastAsia" w:ascii="仿宋_GB2312" w:hAnsi="仿宋_GB2312" w:eastAsia="仿宋_GB2312" w:cs="仿宋_GB2312"/>
          <w:b w:val="0"/>
          <w:bCs w:val="0"/>
          <w:sz w:val="32"/>
          <w:szCs w:val="32"/>
          <w:highlight w:val="none"/>
          <w:u w:val="none"/>
          <w:lang w:val="en-US" w:eastAsia="zh-CN"/>
        </w:rPr>
        <w:t>在</w:t>
      </w:r>
      <w:r>
        <w:rPr>
          <w:rFonts w:hint="eastAsia" w:ascii="仿宋_GB2312" w:hAnsi="仿宋_GB2312" w:eastAsia="仿宋_GB2312" w:cs="仿宋_GB2312"/>
          <w:b w:val="0"/>
          <w:bCs w:val="0"/>
          <w:sz w:val="32"/>
          <w:szCs w:val="32"/>
          <w:highlight w:val="none"/>
          <w:u w:val="none"/>
          <w:lang w:eastAsia="zh-CN"/>
        </w:rPr>
        <w:t>本市范围内</w:t>
      </w:r>
      <w:r>
        <w:rPr>
          <w:rFonts w:hint="eastAsia" w:ascii="仿宋_GB2312" w:hAnsi="仿宋_GB2312" w:eastAsia="仿宋_GB2312" w:cs="仿宋_GB2312"/>
          <w:b w:val="0"/>
          <w:bCs w:val="0"/>
          <w:sz w:val="32"/>
          <w:szCs w:val="32"/>
          <w:highlight w:val="none"/>
          <w:u w:val="none"/>
          <w:lang w:val="en-US" w:eastAsia="zh-CN"/>
        </w:rPr>
        <w:t>拥有</w:t>
      </w:r>
      <w:r>
        <w:rPr>
          <w:rFonts w:hint="eastAsia" w:ascii="仿宋_GB2312" w:hAnsi="仿宋_GB2312" w:eastAsia="仿宋_GB2312" w:cs="仿宋_GB2312"/>
          <w:b w:val="0"/>
          <w:bCs w:val="0"/>
          <w:sz w:val="32"/>
          <w:szCs w:val="32"/>
          <w:highlight w:val="none"/>
          <w:u w:val="none"/>
          <w:lang w:eastAsia="zh-CN"/>
        </w:rPr>
        <w:t>住房</w:t>
      </w:r>
      <w:r>
        <w:rPr>
          <w:rFonts w:hint="eastAsia" w:ascii="仿宋_GB2312" w:hAnsi="仿宋_GB2312" w:eastAsia="仿宋_GB2312" w:cs="仿宋_GB2312"/>
          <w:b w:val="0"/>
          <w:bCs w:val="0"/>
          <w:sz w:val="32"/>
          <w:szCs w:val="32"/>
          <w:highlight w:val="none"/>
          <w:u w:val="none"/>
          <w:lang w:val="en-US" w:eastAsia="zh-CN"/>
        </w:rPr>
        <w:t>的</w:t>
      </w:r>
      <w:r>
        <w:rPr>
          <w:rFonts w:hint="eastAsia" w:ascii="仿宋_GB2312" w:hAnsi="仿宋_GB2312" w:eastAsia="仿宋_GB2312" w:cs="仿宋_GB2312"/>
          <w:b w:val="0"/>
          <w:bCs w:val="0"/>
          <w:sz w:val="32"/>
          <w:szCs w:val="32"/>
          <w:highlight w:val="none"/>
          <w:u w:val="none"/>
          <w:lang w:eastAsia="zh-CN"/>
        </w:rPr>
        <w:t>，可以申请按照实际支出提取住房公积金用于支付</w:t>
      </w:r>
      <w:r>
        <w:rPr>
          <w:rFonts w:hint="eastAsia" w:ascii="仿宋_GB2312" w:hAnsi="仿宋_GB2312" w:eastAsia="仿宋_GB2312" w:cs="仿宋_GB2312"/>
          <w:b w:val="0"/>
          <w:bCs w:val="0"/>
          <w:sz w:val="32"/>
          <w:szCs w:val="32"/>
          <w:highlight w:val="none"/>
          <w:u w:val="none"/>
          <w:lang w:val="en-US" w:eastAsia="zh-CN"/>
        </w:rPr>
        <w:t>住房</w:t>
      </w:r>
      <w:r>
        <w:rPr>
          <w:rFonts w:hint="eastAsia" w:ascii="仿宋_GB2312" w:hAnsi="仿宋_GB2312" w:eastAsia="仿宋_GB2312" w:cs="仿宋_GB2312"/>
          <w:b w:val="0"/>
          <w:bCs w:val="0"/>
          <w:sz w:val="32"/>
          <w:szCs w:val="32"/>
          <w:highlight w:val="none"/>
          <w:u w:val="none"/>
          <w:lang w:eastAsia="zh-CN"/>
        </w:rPr>
        <w:t>物业费。</w:t>
      </w:r>
      <w:r>
        <w:rPr>
          <w:rFonts w:hint="eastAsia" w:ascii="仿宋_GB2312" w:hAnsi="仿宋_GB2312" w:eastAsia="仿宋_GB2312" w:cs="仿宋_GB2312"/>
          <w:b w:val="0"/>
          <w:bCs w:val="0"/>
          <w:sz w:val="32"/>
          <w:szCs w:val="32"/>
          <w:highlight w:val="none"/>
          <w:u w:val="none"/>
          <w:lang w:val="en-US" w:eastAsia="zh-CN"/>
        </w:rPr>
        <w:t>每套住房每月可提取额不超过550元。</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楷体_GB2312" w:cs="仿宋_GB2312"/>
          <w:b w:val="0"/>
          <w:bCs w:val="0"/>
          <w:sz w:val="32"/>
          <w:szCs w:val="32"/>
          <w:highlight w:val="none"/>
          <w:u w:val="none"/>
          <w:lang w:val="en-US" w:eastAsia="zh-CN"/>
        </w:rPr>
        <w:t>（二）提取规则及材料。</w:t>
      </w:r>
      <w:r>
        <w:rPr>
          <w:rFonts w:hint="eastAsia" w:ascii="仿宋_GB2312" w:hAnsi="仿宋_GB2312" w:eastAsia="仿宋_GB2312" w:cs="仿宋_GB2312"/>
          <w:b w:val="0"/>
          <w:bCs w:val="0"/>
          <w:sz w:val="32"/>
          <w:szCs w:val="32"/>
          <w:highlight w:val="none"/>
          <w:u w:val="none"/>
          <w:lang w:val="en-US" w:eastAsia="zh-CN"/>
        </w:rPr>
        <w:t>职工及家庭成员拥有多套住房的，同一时间段内仅能就其中一套住房申请同时提取；</w:t>
      </w:r>
      <w:r>
        <w:rPr>
          <w:rFonts w:hint="eastAsia" w:ascii="仿宋_GB2312" w:hAnsi="仿宋_GB2312" w:eastAsia="仿宋_GB2312" w:cs="仿宋_GB2312"/>
          <w:sz w:val="32"/>
          <w:szCs w:val="32"/>
          <w:highlight w:val="none"/>
          <w:u w:val="none"/>
          <w:lang w:val="en-US" w:eastAsia="zh-CN"/>
        </w:rPr>
        <w:t>当年度未提取的月份，可以在后续提取中累计计算。</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sz w:val="32"/>
          <w:szCs w:val="32"/>
          <w:highlight w:val="none"/>
          <w:u w:val="none"/>
          <w:lang w:val="en-US" w:eastAsia="zh-CN"/>
        </w:rPr>
      </w:pPr>
      <w:r>
        <w:rPr>
          <w:rFonts w:hint="default" w:ascii="仿宋_GB2312" w:hAnsi="仿宋_GB2312" w:eastAsia="仿宋_GB2312" w:cs="仿宋_GB2312"/>
          <w:b w:val="0"/>
          <w:bCs w:val="0"/>
          <w:sz w:val="32"/>
          <w:szCs w:val="32"/>
          <w:highlight w:val="none"/>
          <w:u w:val="none"/>
          <w:lang w:val="en-US" w:eastAsia="zh-CN"/>
        </w:rPr>
        <w:t>职工及家庭成员</w:t>
      </w:r>
      <w:r>
        <w:rPr>
          <w:rFonts w:hint="eastAsia" w:ascii="仿宋_GB2312" w:hAnsi="仿宋_GB2312" w:eastAsia="仿宋_GB2312" w:cs="仿宋_GB2312"/>
          <w:b w:val="0"/>
          <w:bCs w:val="0"/>
          <w:sz w:val="32"/>
          <w:szCs w:val="32"/>
          <w:highlight w:val="none"/>
          <w:u w:val="none"/>
          <w:lang w:val="en-US" w:eastAsia="zh-CN"/>
        </w:rPr>
        <w:t>按照本条规定申请提取的，应当提交不动产权属证书或者经有关主管部门备案的购房合同、物业费发票等相关材料。</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left="0" w:leftChars="0" w:firstLine="640" w:firstLineChars="200"/>
        <w:jc w:val="both"/>
        <w:textAlignment w:val="auto"/>
        <w:rPr>
          <w:rFonts w:hint="eastAsia" w:ascii="黑体" w:hAnsi="黑体" w:eastAsia="黑体" w:cs="黑体"/>
          <w:b w:val="0"/>
          <w:bCs w:val="0"/>
          <w:sz w:val="32"/>
          <w:szCs w:val="32"/>
          <w:highlight w:val="none"/>
          <w:u w:val="none"/>
          <w:lang w:val="en-US" w:eastAsia="zh-CN"/>
        </w:rPr>
      </w:pPr>
      <w:r>
        <w:rPr>
          <w:rFonts w:hint="eastAsia" w:ascii="黑体" w:hAnsi="黑体" w:eastAsia="黑体" w:cs="黑体"/>
          <w:b w:val="0"/>
          <w:bCs w:val="0"/>
          <w:sz w:val="32"/>
          <w:szCs w:val="32"/>
          <w:highlight w:val="none"/>
          <w:u w:val="none"/>
          <w:lang w:val="en-US" w:eastAsia="zh-CN"/>
        </w:rPr>
        <w:t>三、阶段性提高租房提取额度标准</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rPr>
        <w:t>自202</w:t>
      </w:r>
      <w:r>
        <w:rPr>
          <w:rFonts w:hint="eastAsia" w:ascii="仿宋_GB2312" w:hAnsi="仿宋_GB2312" w:eastAsia="仿宋_GB2312" w:cs="仿宋_GB2312"/>
          <w:sz w:val="32"/>
          <w:szCs w:val="32"/>
          <w:highlight w:val="none"/>
          <w:u w:val="none"/>
          <w:lang w:val="en-US" w:eastAsia="zh-CN"/>
        </w:rPr>
        <w:t>7</w:t>
      </w:r>
      <w:r>
        <w:rPr>
          <w:rFonts w:hint="eastAsia" w:ascii="仿宋_GB2312" w:hAnsi="仿宋_GB2312" w:eastAsia="仿宋_GB2312" w:cs="仿宋_GB2312"/>
          <w:sz w:val="32"/>
          <w:szCs w:val="32"/>
          <w:highlight w:val="none"/>
          <w:u w:val="none"/>
        </w:rPr>
        <w:t>年11月1日起两年内</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职工</w:t>
      </w:r>
      <w:r>
        <w:rPr>
          <w:rFonts w:hint="eastAsia" w:ascii="仿宋_GB2312" w:hAnsi="仿宋_GB2312" w:eastAsia="仿宋_GB2312" w:cs="仿宋_GB2312"/>
          <w:sz w:val="32"/>
          <w:szCs w:val="32"/>
          <w:highlight w:val="none"/>
          <w:u w:val="none"/>
        </w:rPr>
        <w:t>提取</w:t>
      </w:r>
      <w:r>
        <w:rPr>
          <w:rFonts w:hint="eastAsia" w:ascii="仿宋_GB2312" w:hAnsi="仿宋_GB2312" w:eastAsia="仿宋_GB2312" w:cs="仿宋_GB2312"/>
          <w:sz w:val="32"/>
          <w:szCs w:val="32"/>
          <w:highlight w:val="none"/>
          <w:u w:val="none"/>
          <w:lang w:eastAsia="zh-CN"/>
        </w:rPr>
        <w:t>该期间内的</w:t>
      </w:r>
      <w:r>
        <w:rPr>
          <w:rFonts w:hint="eastAsia" w:ascii="仿宋_GB2312" w:hAnsi="仿宋_GB2312" w:eastAsia="仿宋_GB2312" w:cs="仿宋_GB2312"/>
          <w:sz w:val="32"/>
          <w:szCs w:val="32"/>
          <w:highlight w:val="none"/>
          <w:u w:val="none"/>
        </w:rPr>
        <w:t>住房公积金用于支付房租的，每月</w:t>
      </w:r>
      <w:r>
        <w:rPr>
          <w:rFonts w:hint="eastAsia" w:ascii="仿宋_GB2312" w:hAnsi="仿宋_GB2312" w:eastAsia="仿宋_GB2312" w:cs="仿宋_GB2312"/>
          <w:sz w:val="32"/>
          <w:szCs w:val="32"/>
          <w:highlight w:val="none"/>
          <w:u w:val="none"/>
          <w:lang w:eastAsia="zh-CN"/>
        </w:rPr>
        <w:t>可提取额从申请当月应缴存额的</w:t>
      </w:r>
      <w:r>
        <w:rPr>
          <w:rFonts w:hint="eastAsia" w:ascii="仿宋_GB2312" w:hAnsi="仿宋_GB2312" w:eastAsia="仿宋_GB2312" w:cs="仿宋_GB2312"/>
          <w:sz w:val="32"/>
          <w:szCs w:val="32"/>
          <w:highlight w:val="none"/>
          <w:u w:val="none"/>
          <w:lang w:val="en-US" w:eastAsia="zh-CN"/>
        </w:rPr>
        <w:t>百分之六十五提高至</w:t>
      </w:r>
      <w:r>
        <w:rPr>
          <w:rFonts w:hint="eastAsia" w:ascii="仿宋_GB2312" w:hAnsi="仿宋_GB2312" w:eastAsia="仿宋_GB2312" w:cs="仿宋_GB2312"/>
          <w:sz w:val="32"/>
          <w:szCs w:val="32"/>
          <w:highlight w:val="none"/>
          <w:u w:val="none"/>
          <w:lang w:eastAsia="zh-CN"/>
        </w:rPr>
        <w:t>百分之八十</w:t>
      </w:r>
      <w:r>
        <w:rPr>
          <w:rFonts w:hint="eastAsia" w:ascii="仿宋_GB2312" w:hAnsi="仿宋_GB2312" w:eastAsia="仿宋_GB2312" w:cs="仿宋_GB2312"/>
          <w:sz w:val="32"/>
          <w:szCs w:val="32"/>
          <w:highlight w:val="none"/>
          <w:u w:val="none"/>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firstLine="640" w:firstLineChars="200"/>
        <w:jc w:val="both"/>
        <w:textAlignment w:val="auto"/>
        <w:rPr>
          <w:rFonts w:hint="eastAsia" w:ascii="黑体" w:hAnsi="黑体" w:eastAsia="黑体" w:cs="黑体"/>
          <w:kern w:val="2"/>
          <w:sz w:val="32"/>
          <w:szCs w:val="32"/>
          <w:highlight w:val="none"/>
          <w:u w:val="none"/>
          <w:lang w:val="en-US" w:eastAsia="zh-CN" w:bidi="ar-SA"/>
        </w:rPr>
      </w:pPr>
      <w:r>
        <w:rPr>
          <w:rFonts w:hint="eastAsia" w:ascii="黑体" w:hAnsi="黑体" w:eastAsia="黑体" w:cs="黑体"/>
          <w:b w:val="0"/>
          <w:bCs w:val="0"/>
          <w:sz w:val="32"/>
          <w:szCs w:val="32"/>
          <w:highlight w:val="none"/>
          <w:u w:val="none"/>
          <w:lang w:val="en-US" w:eastAsia="zh-CN"/>
        </w:rPr>
        <w:t>四、</w:t>
      </w:r>
      <w:r>
        <w:rPr>
          <w:rFonts w:hint="eastAsia" w:ascii="黑体" w:hAnsi="黑体" w:eastAsia="黑体" w:cs="黑体"/>
          <w:kern w:val="2"/>
          <w:sz w:val="32"/>
          <w:szCs w:val="32"/>
          <w:highlight w:val="none"/>
          <w:u w:val="none"/>
          <w:lang w:val="en-US" w:eastAsia="zh-CN" w:bidi="ar-SA"/>
        </w:rPr>
        <w:t>其他事项</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楷体_GB2312" w:cs="仿宋_GB2312"/>
          <w:b w:val="0"/>
          <w:bCs w:val="0"/>
          <w:sz w:val="32"/>
          <w:szCs w:val="32"/>
          <w:highlight w:val="none"/>
          <w:u w:val="none"/>
          <w:lang w:val="en-US" w:eastAsia="zh-CN"/>
        </w:rPr>
      </w:pPr>
      <w:r>
        <w:rPr>
          <w:rFonts w:hint="eastAsia" w:ascii="仿宋_GB2312" w:hAnsi="仿宋_GB2312" w:eastAsia="楷体_GB2312" w:cs="仿宋_GB2312"/>
          <w:b w:val="0"/>
          <w:bCs w:val="0"/>
          <w:sz w:val="32"/>
          <w:szCs w:val="32"/>
          <w:highlight w:val="none"/>
          <w:u w:val="none"/>
          <w:lang w:val="en-US" w:eastAsia="zh-CN"/>
        </w:rPr>
        <w:t>（一）进一步规范购房提取等业务办理要求</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sz w:val="32"/>
          <w:szCs w:val="32"/>
          <w:highlight w:val="none"/>
          <w:u w:val="none"/>
        </w:rPr>
      </w:pPr>
      <w:r>
        <w:rPr>
          <w:rFonts w:hint="eastAsia" w:ascii="仿宋_GB2312" w:hAnsi="仿宋_GB2312" w:eastAsia="仿宋_GB2312" w:cs="仿宋_GB2312"/>
          <w:b w:val="0"/>
          <w:bCs w:val="0"/>
          <w:sz w:val="32"/>
          <w:szCs w:val="32"/>
          <w:highlight w:val="none"/>
          <w:u w:val="none"/>
          <w:lang w:eastAsia="zh-CN"/>
        </w:rPr>
        <w:t>按照《深圳市住房公积金提取管理规定》第七条、第八条规定</w:t>
      </w:r>
      <w:r>
        <w:rPr>
          <w:rFonts w:hint="eastAsia" w:ascii="仿宋_GB2312" w:hAnsi="仿宋_GB2312" w:eastAsia="仿宋_GB2312" w:cs="仿宋_GB2312"/>
          <w:b w:val="0"/>
          <w:bCs w:val="0"/>
          <w:sz w:val="32"/>
          <w:szCs w:val="32"/>
          <w:highlight w:val="none"/>
          <w:u w:val="none"/>
        </w:rPr>
        <w:t>办理</w:t>
      </w:r>
      <w:r>
        <w:rPr>
          <w:rFonts w:hint="eastAsia" w:ascii="仿宋_GB2312" w:hAnsi="仿宋_GB2312" w:eastAsia="仿宋_GB2312" w:cs="仿宋_GB2312"/>
          <w:b w:val="0"/>
          <w:bCs w:val="0"/>
          <w:sz w:val="32"/>
          <w:szCs w:val="32"/>
          <w:highlight w:val="none"/>
          <w:u w:val="none"/>
          <w:lang w:eastAsia="zh-CN"/>
        </w:rPr>
        <w:t>过</w:t>
      </w:r>
      <w:r>
        <w:rPr>
          <w:rFonts w:hint="eastAsia" w:ascii="仿宋_GB2312" w:hAnsi="仿宋_GB2312" w:eastAsia="仿宋_GB2312" w:cs="仿宋_GB2312"/>
          <w:b w:val="0"/>
          <w:bCs w:val="0"/>
          <w:sz w:val="32"/>
          <w:szCs w:val="32"/>
          <w:highlight w:val="none"/>
          <w:u w:val="none"/>
        </w:rPr>
        <w:t>购房</w:t>
      </w:r>
      <w:r>
        <w:rPr>
          <w:rFonts w:hint="eastAsia" w:ascii="仿宋_GB2312" w:hAnsi="仿宋_GB2312" w:eastAsia="仿宋_GB2312" w:cs="仿宋_GB2312"/>
          <w:b w:val="0"/>
          <w:bCs w:val="0"/>
          <w:sz w:val="32"/>
          <w:szCs w:val="32"/>
          <w:highlight w:val="none"/>
          <w:u w:val="none"/>
          <w:lang w:eastAsia="zh-CN"/>
        </w:rPr>
        <w:t>提取</w:t>
      </w:r>
      <w:r>
        <w:rPr>
          <w:rFonts w:hint="eastAsia" w:ascii="仿宋_GB2312" w:hAnsi="仿宋_GB2312" w:eastAsia="仿宋_GB2312" w:cs="仿宋_GB2312"/>
          <w:b w:val="0"/>
          <w:bCs w:val="0"/>
          <w:sz w:val="32"/>
          <w:szCs w:val="32"/>
          <w:highlight w:val="none"/>
          <w:u w:val="none"/>
        </w:rPr>
        <w:t>、</w:t>
      </w:r>
      <w:r>
        <w:rPr>
          <w:rFonts w:hint="eastAsia" w:ascii="仿宋_GB2312" w:hAnsi="仿宋_GB2312" w:eastAsia="仿宋_GB2312" w:cs="仿宋_GB2312"/>
          <w:b w:val="0"/>
          <w:bCs w:val="0"/>
          <w:sz w:val="32"/>
          <w:szCs w:val="32"/>
          <w:highlight w:val="none"/>
          <w:u w:val="none"/>
          <w:lang w:eastAsia="zh-CN"/>
        </w:rPr>
        <w:t>购房</w:t>
      </w:r>
      <w:r>
        <w:rPr>
          <w:rFonts w:hint="eastAsia" w:ascii="仿宋_GB2312" w:hAnsi="仿宋_GB2312" w:eastAsia="仿宋_GB2312" w:cs="仿宋_GB2312"/>
          <w:b w:val="0"/>
          <w:bCs w:val="0"/>
          <w:sz w:val="32"/>
          <w:szCs w:val="32"/>
          <w:highlight w:val="none"/>
          <w:u w:val="none"/>
        </w:rPr>
        <w:t>首付款</w:t>
      </w:r>
      <w:r>
        <w:rPr>
          <w:rFonts w:hint="eastAsia" w:ascii="仿宋_GB2312" w:hAnsi="仿宋_GB2312" w:eastAsia="仿宋_GB2312" w:cs="仿宋_GB2312"/>
          <w:b w:val="0"/>
          <w:bCs w:val="0"/>
          <w:sz w:val="32"/>
          <w:szCs w:val="32"/>
          <w:highlight w:val="none"/>
          <w:u w:val="none"/>
          <w:lang w:eastAsia="zh-CN"/>
        </w:rPr>
        <w:t>提取业务的</w:t>
      </w:r>
      <w:r>
        <w:rPr>
          <w:rFonts w:hint="eastAsia" w:ascii="仿宋_GB2312" w:hAnsi="仿宋_GB2312" w:eastAsia="仿宋_GB2312" w:cs="仿宋_GB2312"/>
          <w:b w:val="0"/>
          <w:bCs w:val="0"/>
          <w:sz w:val="32"/>
          <w:szCs w:val="32"/>
          <w:highlight w:val="none"/>
          <w:u w:val="none"/>
        </w:rPr>
        <w:t>住房</w:t>
      </w:r>
      <w:r>
        <w:rPr>
          <w:rFonts w:hint="eastAsia" w:ascii="仿宋_GB2312" w:hAnsi="仿宋_GB2312" w:eastAsia="仿宋_GB2312" w:cs="仿宋_GB2312"/>
          <w:b w:val="0"/>
          <w:bCs w:val="0"/>
          <w:sz w:val="32"/>
          <w:szCs w:val="32"/>
          <w:highlight w:val="none"/>
          <w:u w:val="none"/>
          <w:lang w:eastAsia="zh-CN"/>
        </w:rPr>
        <w:t>再次被交易</w:t>
      </w:r>
      <w:r>
        <w:rPr>
          <w:rFonts w:hint="eastAsia" w:ascii="仿宋_GB2312" w:hAnsi="仿宋_GB2312" w:eastAsia="仿宋_GB2312" w:cs="仿宋_GB2312"/>
          <w:b w:val="0"/>
          <w:bCs w:val="0"/>
          <w:sz w:val="32"/>
          <w:szCs w:val="32"/>
          <w:highlight w:val="none"/>
          <w:u w:val="none"/>
        </w:rPr>
        <w:t>，新的购房职工及家庭成员再以该</w:t>
      </w:r>
      <w:r>
        <w:rPr>
          <w:rFonts w:hint="eastAsia" w:ascii="仿宋_GB2312" w:hAnsi="仿宋_GB2312" w:eastAsia="仿宋_GB2312" w:cs="仿宋_GB2312"/>
          <w:b w:val="0"/>
          <w:bCs w:val="0"/>
          <w:sz w:val="32"/>
          <w:szCs w:val="32"/>
          <w:highlight w:val="none"/>
          <w:u w:val="none"/>
          <w:lang w:eastAsia="zh-CN"/>
        </w:rPr>
        <w:t>套</w:t>
      </w:r>
      <w:r>
        <w:rPr>
          <w:rFonts w:hint="eastAsia" w:ascii="仿宋_GB2312" w:hAnsi="仿宋_GB2312" w:eastAsia="仿宋_GB2312" w:cs="仿宋_GB2312"/>
          <w:b w:val="0"/>
          <w:bCs w:val="0"/>
          <w:sz w:val="32"/>
          <w:szCs w:val="32"/>
          <w:highlight w:val="none"/>
          <w:u w:val="none"/>
        </w:rPr>
        <w:t>住房申请</w:t>
      </w:r>
      <w:r>
        <w:rPr>
          <w:rFonts w:hint="eastAsia" w:ascii="仿宋_GB2312" w:hAnsi="仿宋_GB2312" w:eastAsia="仿宋_GB2312" w:cs="仿宋_GB2312"/>
          <w:b w:val="0"/>
          <w:bCs w:val="0"/>
          <w:sz w:val="32"/>
          <w:szCs w:val="32"/>
          <w:highlight w:val="none"/>
          <w:u w:val="none"/>
          <w:lang w:eastAsia="zh-CN"/>
        </w:rPr>
        <w:t>办理购房提取、购房首付款提取业务</w:t>
      </w:r>
      <w:r>
        <w:rPr>
          <w:rFonts w:hint="eastAsia" w:ascii="仿宋_GB2312" w:hAnsi="仿宋_GB2312" w:eastAsia="仿宋_GB2312" w:cs="仿宋_GB2312"/>
          <w:b w:val="0"/>
          <w:bCs w:val="0"/>
          <w:sz w:val="32"/>
          <w:szCs w:val="32"/>
          <w:highlight w:val="none"/>
          <w:u w:val="none"/>
        </w:rPr>
        <w:t>的，两次提取的时间应当间隔满十二个月。</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firstLine="640" w:firstLineChars="200"/>
        <w:jc w:val="both"/>
        <w:textAlignment w:val="auto"/>
        <w:rPr>
          <w:rFonts w:hint="eastAsia" w:ascii="仿宋_GB2312" w:hAnsi="仿宋_GB2312" w:eastAsia="楷体_GB2312" w:cs="仿宋_GB2312"/>
          <w:kern w:val="2"/>
          <w:sz w:val="32"/>
          <w:szCs w:val="32"/>
          <w:highlight w:val="none"/>
          <w:u w:val="none"/>
          <w:lang w:val="en-US" w:eastAsia="zh-CN" w:bidi="ar-SA"/>
        </w:rPr>
      </w:pPr>
      <w:r>
        <w:rPr>
          <w:rFonts w:hint="eastAsia" w:ascii="仿宋_GB2312" w:hAnsi="仿宋_GB2312" w:eastAsia="楷体_GB2312" w:cs="仿宋_GB2312"/>
          <w:b w:val="0"/>
          <w:bCs w:val="0"/>
          <w:sz w:val="32"/>
          <w:szCs w:val="32"/>
          <w:highlight w:val="none"/>
          <w:u w:val="none"/>
          <w:lang w:val="en-US" w:eastAsia="zh-CN"/>
        </w:rPr>
        <w:t>（二）其他要求</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除本通知调整的内容外，住房公积金提取业务办理的其他要求均按照《深圳市住房公积金提取管理规定》等相关规定执行。</w:t>
      </w:r>
    </w:p>
    <w:p>
      <w:pPr>
        <w:keepNext w:val="0"/>
        <w:keepLines w:val="0"/>
        <w:pageBreakBefore w:val="0"/>
        <w:widowControl w:val="0"/>
        <w:kinsoku/>
        <w:wordWrap/>
        <w:overflowPunct/>
        <w:topLinePunct w:val="0"/>
        <w:autoSpaceDE/>
        <w:autoSpaceDN/>
        <w:bidi w:val="0"/>
        <w:adjustRightInd/>
        <w:snapToGrid/>
        <w:spacing w:beforeLines="0" w:afterLines="0" w:line="560" w:lineRule="exact"/>
        <w:ind w:left="0" w:firstLine="640" w:firstLineChars="200"/>
        <w:jc w:val="both"/>
        <w:textAlignment w:val="auto"/>
        <w:rPr>
          <w:rFonts w:hint="eastAsia" w:ascii="黑体" w:hAnsi="黑体" w:eastAsia="黑体" w:cs="黑体"/>
          <w:kern w:val="2"/>
          <w:sz w:val="32"/>
          <w:szCs w:val="32"/>
          <w:highlight w:val="none"/>
          <w:u w:val="none"/>
          <w:lang w:val="en-US" w:eastAsia="zh-CN" w:bidi="ar-SA"/>
        </w:rPr>
      </w:pPr>
      <w:r>
        <w:rPr>
          <w:rFonts w:hint="eastAsia" w:ascii="黑体" w:hAnsi="黑体" w:eastAsia="黑体" w:cs="黑体"/>
          <w:kern w:val="2"/>
          <w:sz w:val="32"/>
          <w:szCs w:val="32"/>
          <w:highlight w:val="none"/>
          <w:u w:val="none"/>
          <w:lang w:val="en-US" w:eastAsia="zh-CN" w:bidi="ar-SA"/>
        </w:rPr>
        <w:t>五、施行期限</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本通知自2026年  月  日起施行，有效期5年。</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仿宋_GB2312" w:eastAsia="仿宋_GB2312" w:cs="仿宋_GB2312"/>
          <w:kern w:val="2"/>
          <w:sz w:val="32"/>
          <w:szCs w:val="32"/>
          <w:highlight w:val="none"/>
          <w:u w:val="none"/>
          <w:lang w:val="en-US" w:eastAsia="zh-CN" w:bidi="ar-SA"/>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仿宋_GB2312" w:eastAsia="仿宋_GB2312" w:cs="仿宋_GB2312"/>
          <w:kern w:val="2"/>
          <w:sz w:val="32"/>
          <w:szCs w:val="32"/>
          <w:highlight w:val="none"/>
          <w:u w:val="none"/>
          <w:lang w:val="en-US" w:eastAsia="zh-CN" w:bidi="ar-SA"/>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仿宋_GB2312" w:eastAsia="仿宋_GB2312" w:cs="仿宋_GB2312"/>
          <w:kern w:val="2"/>
          <w:sz w:val="32"/>
          <w:szCs w:val="32"/>
          <w:highlight w:val="none"/>
          <w:u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3840" w:firstLineChars="1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深圳市住房公积金管理委员会</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4960" w:firstLineChars="1550"/>
        <w:jc w:val="both"/>
        <w:textAlignment w:val="auto"/>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2026年×月×日</w:t>
      </w:r>
    </w:p>
    <w:p>
      <w:pPr>
        <w:autoSpaceDE w:val="0"/>
        <w:spacing w:beforeLines="0" w:after="0" w:afterLines="0" w:line="560" w:lineRule="exact"/>
        <w:ind w:firstLine="420" w:firstLineChars="200"/>
      </w:pPr>
      <w:bookmarkStart w:id="0" w:name="_GoBack"/>
      <w:bookmarkEnd w:id="0"/>
    </w:p>
    <w:p>
      <w:pPr>
        <w:pStyle w:val="2"/>
      </w:pP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7"/>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7FE5313"/>
    <w:rsid w:val="465DDDB8"/>
    <w:rsid w:val="4A0A3D38"/>
    <w:rsid w:val="4A1947CF"/>
    <w:rsid w:val="6DF9668D"/>
    <w:rsid w:val="6FCD38F9"/>
    <w:rsid w:val="6FFB8D95"/>
    <w:rsid w:val="73BF61A2"/>
    <w:rsid w:val="73FD0464"/>
    <w:rsid w:val="771A976F"/>
    <w:rsid w:val="7B6FA322"/>
    <w:rsid w:val="7F3FBE04"/>
    <w:rsid w:val="7FBD50BE"/>
    <w:rsid w:val="7FF33667"/>
    <w:rsid w:val="7FF8E9EC"/>
    <w:rsid w:val="7FFF8849"/>
    <w:rsid w:val="7FFFF76E"/>
    <w:rsid w:val="957F0E5A"/>
    <w:rsid w:val="C31E229F"/>
    <w:rsid w:val="DFBFC8CD"/>
    <w:rsid w:val="E76F22B7"/>
    <w:rsid w:val="E79F100E"/>
    <w:rsid w:val="EF3E41AC"/>
    <w:rsid w:val="F7277D98"/>
    <w:rsid w:val="F7F1CA8B"/>
    <w:rsid w:val="FB76E010"/>
    <w:rsid w:val="FEDB772A"/>
    <w:rsid w:val="FEF7BA98"/>
    <w:rsid w:val="FF9EABEF"/>
    <w:rsid w:val="FFCE3BA1"/>
    <w:rsid w:val="FFFD7AF8"/>
    <w:rsid w:val="FFFE47C7"/>
    <w:rsid w:val="FFFFE24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widowControl w:val="0"/>
      <w:spacing w:line="560" w:lineRule="exact"/>
      <w:jc w:val="center"/>
      <w:outlineLvl w:val="0"/>
    </w:pPr>
    <w:rPr>
      <w:rFonts w:ascii="Calibri" w:hAnsi="Calibri" w:eastAsia="方正小标宋简体" w:cs="Times New Roman"/>
      <w:kern w:val="44"/>
      <w:sz w:val="44"/>
      <w:szCs w:val="20"/>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line="590" w:lineRule="exact"/>
      <w:ind w:firstLine="880" w:firstLineChars="200"/>
    </w:pPr>
    <w:rPr>
      <w:rFonts w:ascii="Calibri" w:hAnsi="Calibri" w:eastAsia="方正仿宋_GBK"/>
      <w:sz w:val="32"/>
    </w:rPr>
  </w:style>
  <w:style w:type="paragraph" w:styleId="4">
    <w:name w:val="annotation text"/>
    <w:basedOn w:val="1"/>
    <w:qFormat/>
    <w:uiPriority w:val="0"/>
    <w:pPr>
      <w:jc w:val="left"/>
    </w:pPr>
  </w:style>
  <w:style w:type="paragraph" w:styleId="5">
    <w:name w:val="Body Text"/>
    <w:basedOn w:val="1"/>
    <w:next w:val="6"/>
    <w:qFormat/>
    <w:uiPriority w:val="0"/>
    <w:pPr>
      <w:spacing w:after="120"/>
    </w:pPr>
  </w:style>
  <w:style w:type="paragraph" w:styleId="6">
    <w:name w:val="Title"/>
    <w:basedOn w:val="1"/>
    <w:next w:val="1"/>
    <w:qFormat/>
    <w:uiPriority w:val="0"/>
    <w:pPr>
      <w:spacing w:before="240" w:after="60"/>
      <w:jc w:val="center"/>
      <w:textAlignment w:val="baseline"/>
    </w:pPr>
    <w:rPr>
      <w:rFonts w:ascii="Cambria" w:hAnsi="Cambria" w:cs="Times New Roman"/>
      <w:b/>
      <w:bCs/>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2">
    <w:name w:val="Hyperlink"/>
    <w:basedOn w:val="11"/>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0</Words>
  <Characters>0</Characters>
  <Lines>0</Lines>
  <Paragraphs>0</Paragraphs>
  <TotalTime>15</TotalTime>
  <ScaleCrop>false</ScaleCrop>
  <LinksUpToDate>false</LinksUpToDate>
  <CharactersWithSpaces>0</CharactersWithSpaces>
  <Application>WPS Office_11.8.2.12229_F1E327BC-269C-435d-A152-05C5408002CA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2018-07-18T07:11:00Z</dcterms:created>
  <dc:creator>d</dc:creator>
  <cp:lastModifiedBy>yy</cp:lastModifiedBy>
  <cp:lastPrinted>2026-09-28T20:02:00Z</cp:lastPrinted>
  <dcterms:modified xsi:type="dcterms:W3CDTF">2026-09-30T19:03:26Z</dcterms:modified>
  <dc:title>深圳市住房公积金管理中心关于公开征求</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2052-11.8.2.12229</vt:lpwstr>
  </property>
  <property fmtid="{D5CDD505-2E9C-101B-9397-08002B2CF9AE}" pid="3" name="ICV">
    <vt:lpwstr>29A756FF87F4CABC7EECBC6ACB9D1B1D</vt:lpwstr>
  </property>
</Properties>
</file>