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outlineLvl w:val="9"/>
        <w:rPr>
          <w:rFonts w:hint="eastAsia" w:ascii="黑体" w:hAnsi="黑体" w:eastAsia="黑体" w:cs="黑体"/>
          <w:sz w:val="32"/>
          <w:szCs w:val="32"/>
          <w:highlight w:val="none"/>
          <w:u w:val="none"/>
          <w:lang w:val="en-US" w:eastAsia="zh-CN"/>
        </w:rPr>
      </w:pPr>
      <w:bookmarkStart w:id="0" w:name="_GoBack"/>
      <w:bookmarkEnd w:id="0"/>
      <w:r>
        <w:rPr>
          <w:rFonts w:hint="eastAsia" w:ascii="黑体" w:hAnsi="黑体" w:eastAsia="黑体" w:cs="黑体"/>
          <w:sz w:val="32"/>
          <w:szCs w:val="32"/>
          <w:highlight w:val="none"/>
          <w:u w:val="none"/>
          <w:lang w:eastAsia="zh-CN"/>
        </w:rPr>
        <w:t>附件</w:t>
      </w:r>
      <w:r>
        <w:rPr>
          <w:rFonts w:hint="eastAsia" w:ascii="黑体" w:hAnsi="黑体" w:eastAsia="黑体" w:cs="黑体"/>
          <w:sz w:val="32"/>
          <w:szCs w:val="32"/>
          <w:highlight w:val="none"/>
          <w:u w:val="none"/>
          <w:lang w:val="en-US" w:eastAsia="zh-CN"/>
        </w:rPr>
        <w:t>2</w:t>
      </w:r>
    </w:p>
    <w:p>
      <w:pPr>
        <w:pStyle w:val="3"/>
        <w:keepNext w:val="0"/>
        <w:keepLines w:val="0"/>
        <w:spacing w:beforeLines="0" w:afterLines="0" w:line="560" w:lineRule="exact"/>
        <w:jc w:val="both"/>
        <w:rPr>
          <w:rFonts w:hint="eastAsia" w:ascii="方正小标宋_GBK" w:hAnsi="方正小标宋_GBK" w:eastAsia="方正小标宋_GBK" w:cs="方正小标宋_GBK"/>
          <w:bCs/>
          <w:szCs w:val="44"/>
        </w:rPr>
      </w:pPr>
    </w:p>
    <w:p>
      <w:pPr>
        <w:pStyle w:val="3"/>
        <w:keepNext w:val="0"/>
        <w:keepLines w:val="0"/>
        <w:spacing w:beforeLines="0" w:afterLines="0" w:line="560" w:lineRule="exact"/>
        <w:ind w:left="880" w:hanging="880" w:hangingChars="200"/>
        <w:jc w:val="center"/>
        <w:rPr>
          <w:rFonts w:hint="eastAsia" w:ascii="方正小标宋_GBK" w:hAnsi="方正小标宋_GBK" w:eastAsia="方正小标宋_GBK" w:cs="方正小标宋_GBK"/>
          <w:bCs/>
          <w:szCs w:val="44"/>
          <w:lang w:val="en-US" w:eastAsia="zh-CN"/>
        </w:rPr>
      </w:pPr>
      <w:r>
        <w:rPr>
          <w:rFonts w:hint="eastAsia" w:ascii="方正小标宋_GBK" w:hAnsi="方正小标宋_GBK" w:eastAsia="方正小标宋_GBK" w:cs="方正小标宋_GBK"/>
          <w:bCs/>
          <w:szCs w:val="44"/>
        </w:rPr>
        <w:t>《</w:t>
      </w:r>
      <w:r>
        <w:rPr>
          <w:rFonts w:hint="eastAsia" w:ascii="方正小标宋_GBK" w:hAnsi="方正小标宋_GBK" w:eastAsia="方正小标宋_GBK" w:cs="方正小标宋_GBK"/>
          <w:bCs/>
          <w:szCs w:val="44"/>
          <w:lang w:eastAsia="zh-CN"/>
        </w:rPr>
        <w:t>关于</w:t>
      </w:r>
      <w:r>
        <w:rPr>
          <w:rFonts w:hint="eastAsia" w:ascii="方正小标宋_GBK" w:hAnsi="方正小标宋_GBK" w:eastAsia="方正小标宋_GBK" w:cs="方正小标宋_GBK"/>
          <w:bCs/>
          <w:szCs w:val="44"/>
          <w:lang w:val="en-US" w:eastAsia="zh-CN"/>
        </w:rPr>
        <w:t>支持</w:t>
      </w:r>
      <w:r>
        <w:rPr>
          <w:rFonts w:hint="eastAsia" w:ascii="方正小标宋_GBK" w:hAnsi="方正小标宋_GBK" w:eastAsia="方正小标宋_GBK" w:cs="方正小标宋_GBK"/>
          <w:bCs/>
          <w:szCs w:val="44"/>
          <w:lang w:eastAsia="zh-CN"/>
        </w:rPr>
        <w:t>装修住房提取住房公积金</w:t>
      </w:r>
      <w:r>
        <w:rPr>
          <w:rFonts w:hint="eastAsia" w:ascii="方正小标宋_GBK" w:hAnsi="方正小标宋_GBK" w:eastAsia="方正小标宋_GBK" w:cs="方正小标宋_GBK"/>
          <w:bCs/>
          <w:szCs w:val="44"/>
          <w:lang w:val="en-US" w:eastAsia="zh-CN"/>
        </w:rPr>
        <w:t>等</w:t>
      </w:r>
    </w:p>
    <w:p>
      <w:pPr>
        <w:pStyle w:val="3"/>
        <w:keepNext w:val="0"/>
        <w:keepLines w:val="0"/>
        <w:spacing w:beforeLines="0" w:afterLines="0" w:line="560" w:lineRule="exact"/>
        <w:ind w:left="880" w:hanging="880" w:hangingChars="200"/>
        <w:jc w:val="center"/>
        <w:rPr>
          <w:rFonts w:hint="eastAsia" w:ascii="方正小标宋_GBK" w:hAnsi="方正小标宋_GBK" w:eastAsia="方正小标宋_GBK" w:cs="方正小标宋_GBK"/>
          <w:bCs/>
          <w:szCs w:val="44"/>
        </w:rPr>
      </w:pPr>
      <w:r>
        <w:rPr>
          <w:rFonts w:hint="eastAsia" w:ascii="方正小标宋_GBK" w:hAnsi="方正小标宋_GBK" w:eastAsia="方正小标宋_GBK" w:cs="方正小标宋_GBK"/>
          <w:bCs/>
          <w:szCs w:val="44"/>
          <w:lang w:eastAsia="zh-CN"/>
        </w:rPr>
        <w:t>有关事项</w:t>
      </w:r>
      <w:r>
        <w:rPr>
          <w:rFonts w:hint="eastAsia" w:ascii="方正小标宋_GBK" w:hAnsi="方正小标宋_GBK" w:eastAsia="方正小标宋_GBK" w:cs="方正小标宋_GBK"/>
          <w:bCs/>
          <w:szCs w:val="44"/>
          <w:lang w:val="en-US" w:eastAsia="zh-CN"/>
        </w:rPr>
        <w:t>的通知（征求意见稿）</w:t>
      </w:r>
      <w:r>
        <w:rPr>
          <w:rFonts w:hint="eastAsia" w:ascii="方正小标宋_GBK" w:hAnsi="方正小标宋_GBK" w:eastAsia="方正小标宋_GBK" w:cs="方正小标宋_GBK"/>
          <w:bCs/>
          <w:szCs w:val="44"/>
        </w:rPr>
        <w:t>》</w:t>
      </w:r>
    </w:p>
    <w:p>
      <w:pPr>
        <w:pStyle w:val="3"/>
        <w:keepNext w:val="0"/>
        <w:keepLines w:val="0"/>
        <w:spacing w:beforeLines="0" w:afterLines="0" w:line="560" w:lineRule="exact"/>
        <w:ind w:left="880" w:hanging="880" w:hangingChars="200"/>
        <w:jc w:val="center"/>
        <w:rPr>
          <w:rFonts w:hint="eastAsia" w:ascii="方正小标宋_GBK" w:hAnsi="方正小标宋_GBK" w:eastAsia="方正小标宋_GBK" w:cs="方正小标宋_GBK"/>
          <w:bCs/>
          <w:szCs w:val="44"/>
        </w:rPr>
      </w:pPr>
      <w:r>
        <w:rPr>
          <w:rFonts w:hint="eastAsia" w:ascii="方正小标宋_GBK" w:hAnsi="方正小标宋_GBK" w:eastAsia="方正小标宋_GBK" w:cs="方正小标宋_GBK"/>
          <w:bCs/>
          <w:szCs w:val="44"/>
          <w:lang w:eastAsia="zh-CN"/>
        </w:rPr>
        <w:t>起草</w:t>
      </w:r>
      <w:r>
        <w:rPr>
          <w:rFonts w:hint="eastAsia" w:ascii="方正小标宋_GBK" w:hAnsi="方正小标宋_GBK" w:eastAsia="方正小标宋_GBK" w:cs="方正小标宋_GBK"/>
          <w:bCs/>
          <w:szCs w:val="44"/>
        </w:rPr>
        <w:t>说明</w:t>
      </w:r>
    </w:p>
    <w:p>
      <w:pPr>
        <w:spacing w:beforeLines="0" w:afterLines="0" w:line="560" w:lineRule="exact"/>
        <w:jc w:val="both"/>
        <w:rPr>
          <w:rFonts w:ascii="Times New Roman" w:hAnsi="Times New Roman" w:eastAsia="宋体" w:cs="Times New Roman"/>
          <w:sz w:val="32"/>
          <w:szCs w:val="32"/>
        </w:rPr>
      </w:pPr>
    </w:p>
    <w:p>
      <w:pPr>
        <w:spacing w:beforeLines="0" w:afterLines="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持续加大对我市</w:t>
      </w:r>
      <w:r>
        <w:rPr>
          <w:rFonts w:hint="eastAsia" w:ascii="仿宋_GB2312" w:hAnsi="仿宋_GB2312" w:eastAsia="仿宋_GB2312" w:cs="仿宋_GB2312"/>
          <w:sz w:val="32"/>
          <w:szCs w:val="32"/>
          <w:highlight w:val="none"/>
          <w:lang w:val="en-US" w:eastAsia="zh-CN"/>
        </w:rPr>
        <w:t>住房公积金缴存职工（以下简称职工）住房消费的支持力度，</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国务院</w:t>
      </w:r>
      <w:r>
        <w:rPr>
          <w:rFonts w:hint="eastAsia" w:ascii="仿宋_GB2312" w:hAnsi="仿宋_GB2312" w:eastAsia="仿宋_GB2312" w:cs="仿宋_GB2312"/>
          <w:sz w:val="32"/>
          <w:szCs w:val="32"/>
          <w:lang w:val="en-US" w:eastAsia="zh-CN"/>
        </w:rPr>
        <w:t>《住房公积金管理条例》（以下简称《条例》）和</w:t>
      </w:r>
      <w:r>
        <w:rPr>
          <w:rFonts w:hint="eastAsia" w:ascii="仿宋_GB2312" w:hAnsi="仿宋_GB2312" w:eastAsia="仿宋_GB2312" w:cs="仿宋_GB2312"/>
          <w:sz w:val="32"/>
          <w:szCs w:val="32"/>
          <w:highlight w:val="none"/>
          <w:lang w:val="en-US" w:eastAsia="zh-CN"/>
        </w:rPr>
        <w:t>《深圳市住房公积金提取管理规定》</w:t>
      </w:r>
      <w:r>
        <w:rPr>
          <w:rFonts w:hint="eastAsia" w:ascii="仿宋_GB2312" w:hAnsi="仿宋_GB2312" w:eastAsia="仿宋_GB2312" w:cs="仿宋_GB2312"/>
          <w:sz w:val="32"/>
          <w:szCs w:val="32"/>
        </w:rPr>
        <w:t>等相关规定</w:t>
      </w:r>
      <w:r>
        <w:rPr>
          <w:rFonts w:hint="eastAsia" w:ascii="仿宋_GB2312" w:hAnsi="仿宋_GB2312" w:eastAsia="仿宋_GB2312" w:cs="仿宋_GB2312"/>
          <w:sz w:val="32"/>
          <w:szCs w:val="32"/>
          <w:lang w:eastAsia="zh-CN"/>
        </w:rPr>
        <w:t>，</w:t>
      </w:r>
      <w:r>
        <w:rPr>
          <w:rFonts w:hint="eastAsia" w:ascii="仿宋_GB2312" w:hAnsi="宋体" w:eastAsia="仿宋_GB2312" w:cs="Times New Roman"/>
          <w:sz w:val="32"/>
          <w:szCs w:val="32"/>
          <w:lang w:eastAsia="zh-Hans"/>
        </w:rPr>
        <w:t>结合我市</w:t>
      </w:r>
      <w:r>
        <w:rPr>
          <w:rFonts w:hint="eastAsia" w:ascii="仿宋_GB2312" w:hAnsi="宋体" w:eastAsia="仿宋_GB2312" w:cs="Times New Roman"/>
          <w:sz w:val="32"/>
          <w:szCs w:val="32"/>
        </w:rPr>
        <w:t>住房</w:t>
      </w:r>
      <w:r>
        <w:rPr>
          <w:rFonts w:hint="eastAsia" w:ascii="仿宋_GB2312" w:hAnsi="宋体" w:eastAsia="仿宋_GB2312" w:cs="Times New Roman"/>
          <w:sz w:val="32"/>
          <w:szCs w:val="32"/>
          <w:lang w:eastAsia="zh-Hans"/>
        </w:rPr>
        <w:t>公积金</w:t>
      </w:r>
      <w:r>
        <w:rPr>
          <w:rFonts w:hint="eastAsia" w:ascii="仿宋_GB2312" w:hAnsi="宋体" w:eastAsia="仿宋_GB2312" w:cs="Times New Roman"/>
          <w:sz w:val="32"/>
          <w:szCs w:val="32"/>
          <w:lang w:eastAsia="zh-CN"/>
        </w:rPr>
        <w:t>业务开展</w:t>
      </w:r>
      <w:r>
        <w:rPr>
          <w:rFonts w:hint="eastAsia" w:ascii="仿宋_GB2312" w:hAnsi="宋体" w:eastAsia="仿宋_GB2312" w:cs="Times New Roman"/>
          <w:sz w:val="32"/>
          <w:szCs w:val="32"/>
          <w:lang w:eastAsia="zh-Hans"/>
        </w:rPr>
        <w:t>实际，</w:t>
      </w:r>
      <w:r>
        <w:rPr>
          <w:rFonts w:hint="eastAsia" w:ascii="仿宋_GB2312" w:hAnsi="宋体" w:eastAsia="仿宋_GB2312" w:cs="Times New Roman"/>
          <w:sz w:val="32"/>
          <w:szCs w:val="32"/>
        </w:rPr>
        <w:t>我</w:t>
      </w:r>
      <w:r>
        <w:rPr>
          <w:rFonts w:hint="eastAsia" w:ascii="仿宋_GB2312" w:hAnsi="宋体" w:eastAsia="仿宋_GB2312" w:cs="Times New Roman"/>
          <w:sz w:val="32"/>
          <w:szCs w:val="32"/>
          <w:lang w:eastAsia="zh-CN"/>
        </w:rPr>
        <w:t>中心研究起草了《关于</w:t>
      </w:r>
      <w:r>
        <w:rPr>
          <w:rFonts w:hint="eastAsia" w:ascii="仿宋_GB2312" w:hAnsi="宋体" w:eastAsia="仿宋_GB2312" w:cs="Times New Roman"/>
          <w:sz w:val="32"/>
          <w:szCs w:val="32"/>
          <w:lang w:val="en-US" w:eastAsia="zh-CN"/>
        </w:rPr>
        <w:t>支持</w:t>
      </w:r>
      <w:r>
        <w:rPr>
          <w:rFonts w:hint="eastAsia" w:ascii="仿宋_GB2312" w:hAnsi="宋体" w:eastAsia="仿宋_GB2312" w:cs="Times New Roman"/>
          <w:sz w:val="32"/>
          <w:szCs w:val="32"/>
          <w:lang w:eastAsia="zh-CN"/>
        </w:rPr>
        <w:t>装修住房提取住房公积金</w:t>
      </w:r>
      <w:r>
        <w:rPr>
          <w:rFonts w:hint="eastAsia" w:ascii="仿宋_GB2312" w:hAnsi="宋体" w:eastAsia="仿宋_GB2312" w:cs="Times New Roman"/>
          <w:sz w:val="32"/>
          <w:szCs w:val="32"/>
          <w:lang w:val="en-US" w:eastAsia="zh-CN"/>
        </w:rPr>
        <w:t>等</w:t>
      </w:r>
      <w:r>
        <w:rPr>
          <w:rFonts w:hint="eastAsia" w:ascii="仿宋_GB2312" w:hAnsi="宋体" w:eastAsia="仿宋_GB2312" w:cs="Times New Roman"/>
          <w:sz w:val="32"/>
          <w:szCs w:val="32"/>
          <w:lang w:eastAsia="zh-CN"/>
        </w:rPr>
        <w:t>有关事项</w:t>
      </w:r>
      <w:r>
        <w:rPr>
          <w:rFonts w:hint="eastAsia" w:ascii="仿宋_GB2312" w:hAnsi="宋体" w:eastAsia="仿宋_GB2312" w:cs="Times New Roman"/>
          <w:sz w:val="32"/>
          <w:szCs w:val="32"/>
          <w:lang w:val="en-US" w:eastAsia="zh-CN"/>
        </w:rPr>
        <w:t>的通知</w:t>
      </w:r>
      <w:r>
        <w:rPr>
          <w:rFonts w:hint="eastAsia" w:ascii="仿宋_GB2312" w:hAnsi="宋体" w:eastAsia="仿宋_GB2312" w:cs="Times New Roman"/>
          <w:sz w:val="32"/>
          <w:szCs w:val="32"/>
          <w:lang w:eastAsia="zh-CN"/>
        </w:rPr>
        <w:t>（征求意见稿）》（以下简称《通知》）</w:t>
      </w:r>
      <w:r>
        <w:rPr>
          <w:rFonts w:hint="eastAsia" w:ascii="仿宋_GB2312" w:hAnsi="宋体" w:eastAsia="仿宋_GB2312" w:cs="Times New Roman"/>
          <w:sz w:val="32"/>
          <w:szCs w:val="32"/>
        </w:rPr>
        <w:t>。现就有关情况说明如下：</w:t>
      </w:r>
    </w:p>
    <w:p>
      <w:pPr>
        <w:widowControl w:val="0"/>
        <w:numPr>
          <w:ilvl w:val="0"/>
          <w:numId w:val="0"/>
        </w:numPr>
        <w:spacing w:beforeLines="0" w:afterLines="0" w:line="560" w:lineRule="exact"/>
        <w:ind w:left="0" w:firstLine="640" w:firstLineChars="200"/>
        <w:jc w:val="both"/>
        <w:rPr>
          <w:rFonts w:hint="eastAsia" w:ascii="黑体" w:hAnsi="黑体" w:eastAsia="黑体" w:cs="Times New Roman"/>
          <w:sz w:val="32"/>
          <w:szCs w:val="32"/>
          <w:lang w:eastAsia="zh-CN"/>
        </w:rPr>
      </w:pPr>
      <w:r>
        <w:rPr>
          <w:rFonts w:hint="eastAsia" w:ascii="黑体" w:hAnsi="黑体" w:eastAsia="黑体" w:cs="Times New Roman"/>
          <w:sz w:val="32"/>
          <w:szCs w:val="32"/>
          <w:lang w:eastAsia="zh-CN"/>
        </w:rPr>
        <w:t>一、《通知》制定的必要性</w:t>
      </w:r>
    </w:p>
    <w:p>
      <w:pPr>
        <w:widowControl w:val="0"/>
        <w:numPr>
          <w:ilvl w:val="0"/>
          <w:numId w:val="0"/>
        </w:numPr>
        <w:spacing w:beforeLines="0" w:afterLines="0" w:line="56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条例》新增“装修自住住房”和“支付自住住房物业费”两种提取情形，进一步拓展了住房公积金提取使用范围。为贯彻落实上位法规政策，更好满足职工多样化住房消费需求，亟需结合本市实际进一步优化现行住房公积金政策。</w:t>
      </w:r>
    </w:p>
    <w:p>
      <w:pPr>
        <w:widowControl w:val="0"/>
        <w:numPr>
          <w:ilvl w:val="0"/>
          <w:numId w:val="0"/>
        </w:numPr>
        <w:spacing w:beforeLines="0" w:afterLines="0" w:line="560" w:lineRule="exact"/>
        <w:ind w:left="0" w:firstLine="640" w:firstLineChars="200"/>
        <w:jc w:val="both"/>
        <w:rPr>
          <w:rFonts w:hint="eastAsia" w:ascii="仿宋_GB2312" w:hAnsi="仿宋_GB2312" w:eastAsia="仿宋_GB2312" w:cs="仿宋_GB2312"/>
          <w:kern w:val="2"/>
          <w:sz w:val="32"/>
          <w:szCs w:val="32"/>
          <w:lang w:val="zh-CN" w:eastAsia="zh-CN" w:bidi="zh-CN"/>
        </w:rPr>
      </w:pPr>
      <w:r>
        <w:rPr>
          <w:rFonts w:hint="eastAsia" w:ascii="黑体" w:hAnsi="黑体" w:eastAsia="黑体" w:cs="Times New Roman"/>
          <w:sz w:val="32"/>
          <w:szCs w:val="32"/>
          <w:lang w:eastAsia="zh-CN"/>
        </w:rPr>
        <w:t>二、《通知》的主要内容</w:t>
      </w:r>
    </w:p>
    <w:p>
      <w:pPr>
        <w:widowControl w:val="0"/>
        <w:numPr>
          <w:ilvl w:val="0"/>
          <w:numId w:val="0"/>
        </w:numPr>
        <w:spacing w:beforeLines="0" w:afterLines="0" w:line="560" w:lineRule="exact"/>
        <w:ind w:left="0" w:leftChars="0" w:firstLine="640" w:firstLineChars="200"/>
        <w:jc w:val="both"/>
        <w:rPr>
          <w:rFonts w:hint="eastAsia" w:ascii="楷体_GB2312" w:hAnsi="楷体_GB2312" w:eastAsia="楷体_GB2312" w:cs="楷体_GB2312"/>
          <w:kern w:val="2"/>
          <w:sz w:val="32"/>
          <w:szCs w:val="32"/>
          <w:lang w:val="zh-CN" w:eastAsia="zh-CN" w:bidi="zh-CN"/>
        </w:rPr>
      </w:pPr>
      <w:r>
        <w:rPr>
          <w:rFonts w:hint="eastAsia" w:ascii="楷体_GB2312" w:hAnsi="楷体_GB2312" w:eastAsia="楷体_GB2312" w:cs="楷体_GB2312"/>
          <w:sz w:val="32"/>
          <w:szCs w:val="32"/>
          <w:lang w:eastAsia="zh-CN"/>
        </w:rPr>
        <w:t>（一）增设装修住房提取情形</w:t>
      </w:r>
    </w:p>
    <w:p>
      <w:pPr>
        <w:numPr>
          <w:ilvl w:val="0"/>
          <w:numId w:val="0"/>
        </w:numPr>
        <w:spacing w:beforeLines="0" w:afterLines="0" w:line="560" w:lineRule="exact"/>
        <w:ind w:firstLine="642" w:firstLineChars="200"/>
        <w:jc w:val="both"/>
        <w:rPr>
          <w:rFonts w:hint="eastAsia" w:ascii="仿宋_GB2312" w:hAnsi="宋体" w:eastAsia="仿宋_GB2312" w:cs="Times New Roman"/>
          <w:b w:val="0"/>
          <w:bCs w:val="0"/>
          <w:sz w:val="32"/>
          <w:szCs w:val="32"/>
          <w:lang w:val="en-US" w:eastAsia="zh-CN"/>
        </w:rPr>
      </w:pPr>
      <w:r>
        <w:rPr>
          <w:rFonts w:hint="eastAsia" w:ascii="仿宋_GB2312" w:hAnsi="宋体" w:eastAsia="仿宋_GB2312" w:cs="Times New Roman"/>
          <w:b/>
          <w:bCs/>
          <w:sz w:val="32"/>
          <w:szCs w:val="32"/>
          <w:lang w:eastAsia="zh-CN"/>
        </w:rPr>
        <w:t>一是</w:t>
      </w:r>
      <w:r>
        <w:rPr>
          <w:rFonts w:hint="eastAsia" w:ascii="仿宋_GB2312" w:hAnsi="宋体" w:eastAsia="仿宋_GB2312" w:cs="Times New Roman"/>
          <w:b w:val="0"/>
          <w:bCs w:val="0"/>
          <w:sz w:val="32"/>
          <w:szCs w:val="32"/>
          <w:lang w:eastAsia="zh-CN"/>
        </w:rPr>
        <w:t>明确职工家庭可就其在本市拥有的一套住房申请提取住房公积金用于装修住房；</w:t>
      </w:r>
      <w:r>
        <w:rPr>
          <w:rFonts w:hint="eastAsia" w:ascii="仿宋_GB2312" w:hAnsi="宋体" w:eastAsia="仿宋_GB2312" w:cs="Times New Roman"/>
          <w:b/>
          <w:bCs/>
          <w:sz w:val="32"/>
          <w:szCs w:val="32"/>
          <w:lang w:eastAsia="zh-CN"/>
        </w:rPr>
        <w:t>二是</w:t>
      </w:r>
      <w:r>
        <w:rPr>
          <w:rFonts w:hint="eastAsia" w:ascii="仿宋_GB2312" w:hAnsi="宋体" w:eastAsia="仿宋_GB2312" w:cs="Times New Roman"/>
          <w:b w:val="0"/>
          <w:bCs w:val="0"/>
          <w:sz w:val="32"/>
          <w:szCs w:val="32"/>
          <w:lang w:eastAsia="zh-CN"/>
        </w:rPr>
        <w:t>明确提取的条件及</w:t>
      </w:r>
      <w:r>
        <w:rPr>
          <w:rFonts w:hint="eastAsia" w:ascii="仿宋_GB2312" w:hAnsi="宋体" w:eastAsia="仿宋_GB2312" w:cs="Times New Roman"/>
          <w:b w:val="0"/>
          <w:bCs w:val="0"/>
          <w:sz w:val="32"/>
          <w:szCs w:val="32"/>
          <w:lang w:val="en-US" w:eastAsia="zh-CN"/>
        </w:rPr>
        <w:t>再次</w:t>
      </w:r>
      <w:r>
        <w:rPr>
          <w:rFonts w:hint="eastAsia" w:ascii="仿宋_GB2312" w:hAnsi="宋体" w:eastAsia="仿宋_GB2312" w:cs="Times New Roman"/>
          <w:b w:val="0"/>
          <w:bCs w:val="0"/>
          <w:sz w:val="32"/>
          <w:szCs w:val="32"/>
          <w:lang w:eastAsia="zh-CN"/>
        </w:rPr>
        <w:t>提取的时间间隔；</w:t>
      </w:r>
      <w:r>
        <w:rPr>
          <w:rFonts w:hint="eastAsia" w:ascii="仿宋_GB2312" w:hAnsi="宋体" w:eastAsia="仿宋_GB2312" w:cs="Times New Roman"/>
          <w:b/>
          <w:bCs/>
          <w:sz w:val="32"/>
          <w:szCs w:val="32"/>
          <w:lang w:eastAsia="zh-CN"/>
        </w:rPr>
        <w:t>三是</w:t>
      </w:r>
      <w:r>
        <w:rPr>
          <w:rFonts w:hint="eastAsia" w:ascii="仿宋_GB2312" w:hAnsi="宋体" w:eastAsia="仿宋_GB2312" w:cs="Times New Roman"/>
          <w:b w:val="0"/>
          <w:bCs w:val="0"/>
          <w:sz w:val="32"/>
          <w:szCs w:val="32"/>
          <w:lang w:val="en-US" w:eastAsia="zh-CN"/>
        </w:rPr>
        <w:t>明确装修住房提取业务的提取方式、可提取额度及申请材料等相关内容。</w:t>
      </w:r>
    </w:p>
    <w:p>
      <w:pPr>
        <w:numPr>
          <w:ilvl w:val="0"/>
          <w:numId w:val="0"/>
        </w:numPr>
        <w:spacing w:beforeLines="0" w:afterLines="0" w:line="560" w:lineRule="exact"/>
        <w:ind w:left="0" w:leftChars="0" w:firstLine="640" w:firstLineChars="200"/>
        <w:jc w:val="both"/>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（二）单列支付住房物业费提取情形</w:t>
      </w:r>
    </w:p>
    <w:p>
      <w:pPr>
        <w:pStyle w:val="2"/>
        <w:numPr>
          <w:ilvl w:val="0"/>
          <w:numId w:val="0"/>
        </w:numPr>
        <w:spacing w:beforeLines="0" w:after="0" w:afterLines="0" w:line="560" w:lineRule="exact"/>
        <w:ind w:left="0" w:leftChars="0" w:firstLine="641"/>
        <w:rPr>
          <w:rFonts w:hint="default" w:ascii="方正黑体_GBK" w:hAnsi="方正黑体_GBK" w:eastAsia="方正黑体_GBK" w:cs="方正黑体_GBK"/>
          <w:sz w:val="32"/>
          <w:szCs w:val="32"/>
          <w:lang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明确职工家庭可就其在本市拥有的一套住房申请提取住房公积金用于支付住房物业费，当年度未提取的月份，可以在</w:t>
      </w:r>
      <w:r>
        <w:rPr>
          <w:rFonts w:hint="eastAsia" w:ascii="仿宋_GB2312" w:hAnsi="仿宋_GB2312" w:eastAsia="仿宋_GB2312" w:cs="仿宋_GB2312"/>
          <w:sz w:val="32"/>
          <w:szCs w:val="32"/>
          <w:highlight w:val="none"/>
          <w:u w:val="none"/>
          <w:lang w:val="en-US" w:eastAsia="zh-CN"/>
        </w:rPr>
        <w:t>后续提取中</w:t>
      </w:r>
      <w:r>
        <w:rPr>
          <w:rFonts w:hint="eastAsia" w:ascii="仿宋_GB2312" w:hAnsi="仿宋_GB2312" w:eastAsia="仿宋_GB2312" w:cs="仿宋_GB2312"/>
          <w:sz w:val="32"/>
          <w:szCs w:val="32"/>
          <w:lang w:val="en-US" w:eastAsia="zh-CN"/>
        </w:rPr>
        <w:t>累计计算；</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明确提取方式及可提取额度；</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明确提取规则及申请材料等相关内容。</w:t>
      </w:r>
    </w:p>
    <w:p>
      <w:pPr>
        <w:numPr>
          <w:ilvl w:val="0"/>
          <w:numId w:val="0"/>
        </w:numPr>
        <w:spacing w:beforeLines="0" w:afterLines="0" w:line="560" w:lineRule="exact"/>
        <w:ind w:left="0" w:leftChars="0"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b w:val="0"/>
          <w:bCs w:val="0"/>
          <w:sz w:val="32"/>
          <w:szCs w:val="32"/>
          <w:lang w:eastAsia="zh-CN"/>
        </w:rPr>
        <w:t>继续加大对无房职工租房提取的支持力度</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明确在现行阶段性租房提取支持政策到期后两年内（即</w:t>
      </w:r>
      <w:r>
        <w:rPr>
          <w:rFonts w:hint="eastAsia" w:ascii="仿宋_GB2312" w:hAnsi="仿宋_GB2312" w:eastAsia="仿宋_GB2312" w:cs="仿宋_GB2312"/>
          <w:sz w:val="32"/>
          <w:szCs w:val="32"/>
          <w:highlight w:val="none"/>
          <w:u w:val="none"/>
        </w:rPr>
        <w:t>自202</w:t>
      </w:r>
      <w:r>
        <w:rPr>
          <w:rFonts w:hint="eastAsia" w:ascii="仿宋_GB2312" w:hAnsi="仿宋_GB2312" w:eastAsia="仿宋_GB2312" w:cs="仿宋_GB2312"/>
          <w:sz w:val="32"/>
          <w:szCs w:val="32"/>
          <w:highlight w:val="none"/>
          <w:u w:val="none"/>
          <w:lang w:val="en-US" w:eastAsia="zh-CN"/>
        </w:rPr>
        <w:t>7</w:t>
      </w:r>
      <w:r>
        <w:rPr>
          <w:rFonts w:hint="eastAsia" w:ascii="仿宋_GB2312" w:hAnsi="仿宋_GB2312" w:eastAsia="仿宋_GB2312" w:cs="仿宋_GB2312"/>
          <w:sz w:val="32"/>
          <w:szCs w:val="32"/>
          <w:highlight w:val="none"/>
          <w:u w:val="none"/>
        </w:rPr>
        <w:t>年11月1日起两年内</w:t>
      </w:r>
      <w:r>
        <w:rPr>
          <w:rFonts w:hint="eastAsia" w:ascii="仿宋_GB2312" w:hAnsi="仿宋_GB2312" w:eastAsia="仿宋_GB2312" w:cs="仿宋_GB2312"/>
          <w:b w:val="0"/>
          <w:bCs w:val="0"/>
          <w:sz w:val="32"/>
          <w:szCs w:val="32"/>
          <w:lang w:val="en-US" w:eastAsia="zh-CN"/>
        </w:rPr>
        <w:t>），继续支持本市无房职工按申请当月应缴存额的80%提取住房公积金用于支付房租。</w:t>
      </w:r>
    </w:p>
    <w:p>
      <w:pPr>
        <w:autoSpaceDE w:val="0"/>
        <w:spacing w:beforeLines="0" w:after="0" w:afterLines="0" w:line="560" w:lineRule="exact"/>
        <w:ind w:firstLine="640" w:firstLineChars="200"/>
      </w:pPr>
      <w:r>
        <w:rPr>
          <w:rFonts w:hint="eastAsia" w:ascii="仿宋_GB2312" w:hAnsi="仿宋_GB2312" w:eastAsia="仿宋_GB2312" w:cs="仿宋_GB2312"/>
          <w:kern w:val="2"/>
          <w:sz w:val="32"/>
          <w:szCs w:val="32"/>
          <w:lang w:val="en-US" w:eastAsia="zh-CN" w:bidi="zh-CN"/>
        </w:rPr>
        <w:t>专此说明。</w:t>
      </w:r>
    </w:p>
    <w:p>
      <w:pPr>
        <w:pStyle w:val="2"/>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7"/>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7FE5313"/>
    <w:rsid w:val="465DDDB8"/>
    <w:rsid w:val="4A0A3D38"/>
    <w:rsid w:val="4A1947CF"/>
    <w:rsid w:val="6DF9668D"/>
    <w:rsid w:val="6FCD38F9"/>
    <w:rsid w:val="6FFB8D95"/>
    <w:rsid w:val="73BF61A2"/>
    <w:rsid w:val="73FD0464"/>
    <w:rsid w:val="771A976F"/>
    <w:rsid w:val="7CBE765F"/>
    <w:rsid w:val="7F3FBE04"/>
    <w:rsid w:val="7FBD50BE"/>
    <w:rsid w:val="7FF33667"/>
    <w:rsid w:val="7FF8E9EC"/>
    <w:rsid w:val="7FFF8849"/>
    <w:rsid w:val="7FFFF76E"/>
    <w:rsid w:val="957F0E5A"/>
    <w:rsid w:val="C31E229F"/>
    <w:rsid w:val="DFBFC8CD"/>
    <w:rsid w:val="E76F22B7"/>
    <w:rsid w:val="E79F100E"/>
    <w:rsid w:val="EF3E41AC"/>
    <w:rsid w:val="F7277D98"/>
    <w:rsid w:val="F7F1CA8B"/>
    <w:rsid w:val="FB76E010"/>
    <w:rsid w:val="FEDB772A"/>
    <w:rsid w:val="FEF7BA98"/>
    <w:rsid w:val="FF9EABEF"/>
    <w:rsid w:val="FFCE3BA1"/>
    <w:rsid w:val="FFFD7AF8"/>
    <w:rsid w:val="FFFE47C7"/>
    <w:rsid w:val="FFFFE24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line="560" w:lineRule="exact"/>
      <w:jc w:val="center"/>
      <w:outlineLvl w:val="0"/>
    </w:pPr>
    <w:rPr>
      <w:rFonts w:ascii="Calibri" w:hAnsi="Calibri" w:eastAsia="方正小标宋简体" w:cs="Times New Roman"/>
      <w:kern w:val="44"/>
      <w:sz w:val="44"/>
      <w:szCs w:val="20"/>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590" w:lineRule="exact"/>
      <w:ind w:firstLine="880" w:firstLineChars="200"/>
    </w:pPr>
    <w:rPr>
      <w:rFonts w:ascii="Calibri" w:hAnsi="Calibri" w:eastAsia="方正仿宋_GBK"/>
      <w:sz w:val="32"/>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Title"/>
    <w:basedOn w:val="1"/>
    <w:next w:val="1"/>
    <w:qFormat/>
    <w:uiPriority w:val="0"/>
    <w:pPr>
      <w:spacing w:before="240" w:after="60"/>
      <w:jc w:val="center"/>
      <w:textAlignment w:val="baseline"/>
    </w:pPr>
    <w:rPr>
      <w:rFonts w:ascii="Cambria" w:hAnsi="Cambria" w:cs="Times New Roman"/>
      <w:b/>
      <w:bCs/>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2">
    <w:name w:val="Hyperlink"/>
    <w:basedOn w:val="11"/>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11</TotalTime>
  <ScaleCrop>false</ScaleCrop>
  <LinksUpToDate>false</LinksUpToDate>
  <CharactersWithSpaces>0</CharactersWithSpaces>
  <Application>WPS Office_11.8.2.12229_F1E327BC-269C-435d-A152-05C5408002CA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2018-07-18T07:11:00Z</dcterms:created>
  <dc:creator>d</dc:creator>
  <cp:lastModifiedBy>yy</cp:lastModifiedBy>
  <cp:lastPrinted>2026-09-28T20:02:00Z</cp:lastPrinted>
  <dcterms:modified xsi:type="dcterms:W3CDTF">2026-09-30T19:06:33Z</dcterms:modified>
  <dc:title>深圳市住房公积金管理中心关于公开征求</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2052-11.8.2.12229</vt:lpwstr>
  </property>
  <property fmtid="{D5CDD505-2E9C-101B-9397-08002B2CF9AE}" pid="3" name="ICV">
    <vt:lpwstr>582D8A9A112310AA39EDBC6A24457D18</vt:lpwstr>
  </property>
</Properties>
</file>