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56327">
      <w:pPr>
        <w:pStyle w:val="7"/>
        <w:keepNext w:val="0"/>
        <w:keepLines w:val="0"/>
        <w:pageBreakBefore w:val="0"/>
        <w:widowControl w:val="0"/>
        <w:kinsoku/>
        <w:wordWrap/>
        <w:overflowPunct/>
        <w:topLinePunct w:val="0"/>
        <w:autoSpaceDE/>
        <w:autoSpaceDN/>
        <w:bidi w:val="0"/>
        <w:adjustRightInd/>
        <w:snapToGrid/>
        <w:spacing w:beforeAutospacing="0" w:afterAutospacing="0" w:line="578" w:lineRule="exact"/>
        <w:jc w:val="both"/>
        <w:textAlignment w:val="auto"/>
        <w:rPr>
          <w:rStyle w:val="6"/>
          <w:rFonts w:hint="eastAsia" w:ascii="黑体" w:hAnsi="黑体" w:eastAsia="黑体" w:cs="黑体"/>
          <w:sz w:val="32"/>
          <w:szCs w:val="32"/>
          <w:lang w:val="en-US" w:eastAsia="zh-CN"/>
        </w:rPr>
      </w:pPr>
      <w:r>
        <w:rPr>
          <w:rStyle w:val="6"/>
          <w:rFonts w:hint="eastAsia" w:ascii="黑体" w:hAnsi="黑体" w:eastAsia="黑体" w:cs="黑体"/>
          <w:sz w:val="32"/>
          <w:szCs w:val="32"/>
          <w:lang w:val="en-US" w:eastAsia="zh-CN"/>
        </w:rPr>
        <w:t>附件1</w:t>
      </w:r>
    </w:p>
    <w:p w14:paraId="37B68D55">
      <w:pPr>
        <w:pStyle w:val="7"/>
        <w:keepNext w:val="0"/>
        <w:keepLines w:val="0"/>
        <w:pageBreakBefore w:val="0"/>
        <w:widowControl w:val="0"/>
        <w:kinsoku/>
        <w:wordWrap/>
        <w:overflowPunct/>
        <w:topLinePunct w:val="0"/>
        <w:autoSpaceDE/>
        <w:autoSpaceDN/>
        <w:bidi w:val="0"/>
        <w:adjustRightInd/>
        <w:snapToGrid/>
        <w:spacing w:beforeAutospacing="0" w:afterAutospacing="0" w:line="578" w:lineRule="exact"/>
        <w:jc w:val="center"/>
        <w:textAlignment w:val="auto"/>
        <w:rPr>
          <w:rStyle w:val="6"/>
          <w:rFonts w:hint="eastAsia" w:ascii="方正小标宋简体" w:hAnsi="方正小标宋简体" w:eastAsia="方正小标宋简体" w:cs="方正小标宋简体"/>
          <w:sz w:val="44"/>
          <w:szCs w:val="44"/>
          <w:lang w:val="en-US" w:eastAsia="zh-CN"/>
        </w:rPr>
      </w:pPr>
    </w:p>
    <w:p w14:paraId="64D5587E">
      <w:pPr>
        <w:pStyle w:val="7"/>
        <w:keepNext w:val="0"/>
        <w:keepLines w:val="0"/>
        <w:pageBreakBefore w:val="0"/>
        <w:widowControl w:val="0"/>
        <w:kinsoku/>
        <w:wordWrap/>
        <w:overflowPunct/>
        <w:topLinePunct w:val="0"/>
        <w:autoSpaceDE/>
        <w:autoSpaceDN/>
        <w:bidi w:val="0"/>
        <w:adjustRightInd/>
        <w:snapToGrid/>
        <w:spacing w:beforeAutospacing="0" w:afterAutospacing="0" w:line="578" w:lineRule="exact"/>
        <w:jc w:val="center"/>
        <w:textAlignment w:val="auto"/>
        <w:rPr>
          <w:rStyle w:val="6"/>
          <w:rFonts w:hint="eastAsia" w:ascii="方正小标宋简体" w:hAnsi="方正小标宋简体" w:eastAsia="方正小标宋简体" w:cs="方正小标宋简体"/>
          <w:sz w:val="44"/>
          <w:szCs w:val="44"/>
          <w:lang w:val="en-US" w:eastAsia="zh-CN"/>
        </w:rPr>
      </w:pPr>
      <w:bookmarkStart w:id="0" w:name="_GoBack"/>
      <w:r>
        <w:rPr>
          <w:rStyle w:val="6"/>
          <w:rFonts w:hint="eastAsia" w:ascii="方正小标宋简体" w:hAnsi="方正小标宋简体" w:eastAsia="方正小标宋简体" w:cs="方正小标宋简体"/>
          <w:sz w:val="44"/>
          <w:szCs w:val="44"/>
          <w:lang w:val="en-US" w:eastAsia="zh-CN"/>
        </w:rPr>
        <w:t>深圳市绿道管理办法</w:t>
      </w:r>
    </w:p>
    <w:bookmarkEnd w:id="0"/>
    <w:p w14:paraId="6A88FC9A">
      <w:pPr>
        <w:pStyle w:val="7"/>
        <w:keepNext w:val="0"/>
        <w:keepLines w:val="0"/>
        <w:pageBreakBefore w:val="0"/>
        <w:widowControl w:val="0"/>
        <w:kinsoku/>
        <w:wordWrap/>
        <w:overflowPunct/>
        <w:topLinePunct w:val="0"/>
        <w:autoSpaceDE/>
        <w:autoSpaceDN/>
        <w:bidi w:val="0"/>
        <w:adjustRightInd/>
        <w:snapToGrid/>
        <w:spacing w:beforeAutospacing="0" w:afterAutospacing="0" w:line="578" w:lineRule="exact"/>
        <w:jc w:val="center"/>
        <w:textAlignment w:val="auto"/>
        <w:rPr>
          <w:rStyle w:val="6"/>
          <w:rFonts w:hint="eastAsia" w:ascii="楷体_GB2312" w:hAnsi="楷体_GB2312" w:eastAsia="楷体_GB2312" w:cs="楷体_GB2312"/>
          <w:sz w:val="32"/>
          <w:szCs w:val="32"/>
          <w:lang w:val="en-US" w:eastAsia="zh-CN"/>
        </w:rPr>
      </w:pPr>
      <w:r>
        <w:rPr>
          <w:rStyle w:val="6"/>
          <w:rFonts w:hint="eastAsia" w:ascii="楷体_GB2312" w:hAnsi="楷体_GB2312" w:eastAsia="楷体_GB2312" w:cs="楷体_GB2312"/>
          <w:sz w:val="32"/>
          <w:szCs w:val="32"/>
          <w:lang w:val="en-US" w:eastAsia="zh-CN"/>
        </w:rPr>
        <w:t>（修订征求意见稿）</w:t>
      </w:r>
    </w:p>
    <w:p w14:paraId="26DFC2CA">
      <w:pPr>
        <w:pageBreakBefore w:val="0"/>
        <w:kinsoku/>
        <w:wordWrap/>
        <w:overflowPunct/>
        <w:topLinePunct w:val="0"/>
        <w:bidi w:val="0"/>
        <w:adjustRightInd/>
        <w:snapToGrid/>
        <w:spacing w:beforeAutospacing="0" w:afterAutospacing="0" w:line="578" w:lineRule="exact"/>
        <w:textAlignment w:val="auto"/>
        <w:rPr>
          <w:rFonts w:hint="default" w:eastAsia="宋体"/>
          <w:color w:val="auto"/>
          <w:highlight w:val="none"/>
          <w:lang w:val="en-US" w:eastAsia="zh-CN"/>
        </w:rPr>
      </w:pPr>
    </w:p>
    <w:p w14:paraId="2685E834">
      <w:pPr>
        <w:keepNext w:val="0"/>
        <w:keepLines w:val="0"/>
        <w:pageBreakBefore w:val="0"/>
        <w:widowControl w:val="0"/>
        <w:kinsoku/>
        <w:wordWrap/>
        <w:overflowPunct/>
        <w:topLinePunct w:val="0"/>
        <w:autoSpaceDE w:val="0"/>
        <w:autoSpaceDN w:val="0"/>
        <w:bidi w:val="0"/>
        <w:adjustRightInd/>
        <w:snapToGrid/>
        <w:spacing w:beforeAutospacing="0" w:afterAutospacing="0" w:line="578" w:lineRule="exact"/>
        <w:ind w:right="0"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第一章  总则</w:t>
      </w:r>
    </w:p>
    <w:p w14:paraId="0272E5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第一条【目的宗旨】</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为了加强绿道管理，保护和改善生态环境，建设生态文明城市和宜居城市，实现人与自然和谐共生，根据相关法律法规规定，结合本市实际，制定本办法。</w:t>
      </w:r>
    </w:p>
    <w:p w14:paraId="221D9ECA">
      <w:pPr>
        <w:pageBreakBefore w:val="0"/>
        <w:widowControl/>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第二条【适用范围】</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本办法适用于本市行政区域内绿道及其控制区的规划、建设、运营和管理。</w:t>
      </w:r>
    </w:p>
    <w:p w14:paraId="4D87F5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法律法规对道路、林地、绿地、风景名胜区、自然保护区、水源保护区等另有规定的，从其规定。</w:t>
      </w:r>
    </w:p>
    <w:p w14:paraId="67E97066">
      <w:pPr>
        <w:keepNext w:val="0"/>
        <w:keepLines w:val="0"/>
        <w:pageBreakBefore w:val="0"/>
        <w:widowControl/>
        <w:suppressLineNumbers w:val="0"/>
        <w:kinsoku/>
        <w:wordWrap/>
        <w:overflowPunct/>
        <w:topLinePunct w:val="0"/>
        <w:bidi w:val="0"/>
        <w:adjustRightInd/>
        <w:snapToGrid/>
        <w:spacing w:beforeAutospacing="0" w:afterAutospacing="0" w:line="578"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第三条【绿道定义】</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本办法所称绿道，是指以绿化为特征，沿着滨水地带、山脊、林带、风景道等自然和人工廊道建立的线性绿色开敞空间和运动休闲慢行系统。包括碧道、休闲骑行道、远足径等。</w:t>
      </w:r>
    </w:p>
    <w:p w14:paraId="074F47F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根据空间跨度与连通功能区域的不同，绿道划分下列三个层级：</w:t>
      </w:r>
    </w:p>
    <w:p w14:paraId="3A53FD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（一）省立绿道，是指连接城市与城市，对区域生态绿地保护和生态网络体系建设具有重要影响的绿道；</w:t>
      </w:r>
    </w:p>
    <w:p w14:paraId="3003E3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（二）城市绿道，是指连接市域主要节点并与省立绿道相连通的绿道；</w:t>
      </w:r>
    </w:p>
    <w:p w14:paraId="196321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（三）社区绿道，是指连接社区公园、街头绿地，主要为附近居民服务的绿道。</w:t>
      </w:r>
    </w:p>
    <w:p w14:paraId="0A3B37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color w:val="auto"/>
          <w:sz w:val="32"/>
          <w:szCs w:val="32"/>
          <w:highlight w:val="none"/>
          <w:lang w:val="en-US" w:eastAsia="zh-CN"/>
        </w:rPr>
        <w:t>第四条</w:t>
      </w:r>
      <w:r>
        <w:rPr>
          <w:rFonts w:hint="eastAsia" w:ascii="黑体" w:hAnsi="黑体" w:eastAsia="黑体" w:cs="黑体"/>
          <w:b w:val="0"/>
          <w:bCs w:val="0"/>
          <w:color w:val="auto"/>
          <w:sz w:val="32"/>
          <w:szCs w:val="32"/>
          <w:highlight w:val="none"/>
          <w:lang w:eastAsia="zh-CN"/>
        </w:rPr>
        <w:t>【</w:t>
      </w:r>
      <w:r>
        <w:rPr>
          <w:rFonts w:hint="eastAsia" w:ascii="黑体" w:hAnsi="黑体" w:eastAsia="黑体" w:cs="黑体"/>
          <w:b w:val="0"/>
          <w:bCs w:val="0"/>
          <w:color w:val="auto"/>
          <w:sz w:val="32"/>
          <w:szCs w:val="32"/>
          <w:highlight w:val="none"/>
          <w:lang w:val="en-US" w:eastAsia="zh-CN"/>
        </w:rPr>
        <w:t>绿道控制区定义</w:t>
      </w:r>
      <w:r>
        <w:rPr>
          <w:rFonts w:hint="eastAsia" w:ascii="黑体" w:hAnsi="黑体" w:eastAsia="黑体" w:cs="黑体"/>
          <w:b w:val="0"/>
          <w:bCs w:val="0"/>
          <w:color w:val="auto"/>
          <w:sz w:val="32"/>
          <w:szCs w:val="32"/>
          <w:highlight w:val="none"/>
          <w:lang w:eastAsia="zh-CN"/>
        </w:rPr>
        <w:t>】</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本办法所称绿道控制区，是指沿绿道游径系统路沿外侧，划定一定范围并加以保护和控制的区域。省立绿道和城市绿道应当划定绿道控制区。</w:t>
      </w:r>
    </w:p>
    <w:p w14:paraId="5DCB11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第五条【绿道管理原则】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绿道管理应当遵循统—规划、分期建设、属地管理、多元化运营的原则。</w:t>
      </w:r>
    </w:p>
    <w:p w14:paraId="5C35B5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第六条【职责分工】</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城市管理和综合执法、规划和自然资源、交通运输、水务等部门是绿道管理部门。</w:t>
      </w:r>
    </w:p>
    <w:p w14:paraId="2DEA74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市城市管理和综合执法部门是市绿道主管部门，负责统筹协调、指导和监督检查全市绿道工作，按照职责分工负责绿道建设、运营和管理工作。</w:t>
      </w:r>
    </w:p>
    <w:p w14:paraId="53B0DB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区城市管理和综合执法部门是区绿道主管部门，在市绿道主管部门指导下，按照职责分工负责辖区内绿道建设、运营和管理工作。</w:t>
      </w:r>
    </w:p>
    <w:p w14:paraId="330D90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规划和自然资源部门负责绿道相关规划编制和调整，负责职责范围内绿道的建设、运营和管理工作。</w:t>
      </w:r>
    </w:p>
    <w:p w14:paraId="43F6F4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交通运输部门负责与道路重合的绿道路基路面监督管理工作。</w:t>
      </w:r>
    </w:p>
    <w:p w14:paraId="102C17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水务部门负责职责范围内绿道的规划、建设、运营和管理工作。</w:t>
      </w:r>
    </w:p>
    <w:p w14:paraId="7908C2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前海管理部门负责合作区范围内绿道的规划建设和移交工作。</w:t>
      </w:r>
    </w:p>
    <w:p w14:paraId="51158B1A">
      <w:pPr>
        <w:pageBreakBefore w:val="0"/>
        <w:widowControl/>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发展改革、财政、公安、生态环境、住房建设、文化广电旅游体育等相关部门应当按照各自职责，做好绿道管理工作。</w:t>
      </w:r>
    </w:p>
    <w:p w14:paraId="312C71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第七条【智慧化管理】</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绿道主管部门应当会同规划和自然资源、交通运输、水务等部门加强绿道信息化建设，充分发挥科技支撑作用，提升绿道管理的智慧化水平。</w:t>
      </w:r>
    </w:p>
    <w:p w14:paraId="4C7F5283">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第八条【经费保障】</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绿道建设和管理经费由市、区财政部门按照职责分工予以保障。</w:t>
      </w:r>
    </w:p>
    <w:p w14:paraId="2BBA2C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第九条【公众参与】</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任何单位和个人都有爱护绿道及其附属设施的义务，有权对破坏绿道及其附属设施和影响绿道安全的行为进行劝阻、投诉。</w:t>
      </w:r>
    </w:p>
    <w:p w14:paraId="52F277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鼓励社会和个人通过捐赠、志愿者行动等多种形式参与绿道的规划、建设、运营和管理，推进共建共治共享。</w:t>
      </w:r>
    </w:p>
    <w:p w14:paraId="28D055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p>
    <w:p w14:paraId="11251F64">
      <w:pPr>
        <w:keepNext w:val="0"/>
        <w:keepLines w:val="0"/>
        <w:pageBreakBefore w:val="0"/>
        <w:widowControl w:val="0"/>
        <w:numPr>
          <w:ilvl w:val="0"/>
          <w:numId w:val="1"/>
        </w:numPr>
        <w:kinsoku/>
        <w:wordWrap/>
        <w:overflowPunct/>
        <w:topLinePunct w:val="0"/>
        <w:autoSpaceDE w:val="0"/>
        <w:autoSpaceDN w:val="0"/>
        <w:bidi w:val="0"/>
        <w:adjustRightInd/>
        <w:snapToGrid/>
        <w:spacing w:beforeAutospacing="0" w:afterAutospacing="0" w:line="578" w:lineRule="exact"/>
        <w:ind w:right="0"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规划和建设</w:t>
      </w:r>
    </w:p>
    <w:p w14:paraId="7CAF1A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第十条【规划基本要求】</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绿道规划应当与国土空间规划相衔接，坚持以人为本、生态优先、因地制宜、绿色低碳的理念。</w:t>
      </w:r>
    </w:p>
    <w:p w14:paraId="06553A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第十一条【绿道专规编制主体和要求】</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市绿道主管部门会同市规划和自然资源部门编制全市绿道专项规划，报市人民政府批准后实施。</w:t>
      </w:r>
    </w:p>
    <w:p w14:paraId="3129FE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专项规划应当发挥绿道连通自然生态和历史人文节点的作用，划定绿道控制区并提出控制要求。绿道应当互相连通，形成结构合理、衔接有序的绿道网络。绿道网络应当与公共交通网络相衔接，完善交通换乘系统，提高绿道的可达性。</w:t>
      </w:r>
    </w:p>
    <w:p w14:paraId="3F7827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第十二条【规划调整】</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因重大项目建设、城市基础设施建设和生态环境保护需要，确需对绿道专项规划进行局部调整的，由市规划和自然资源部门按照规定程序批准。经批准调整绿道专项规划的，不得破坏绿道的连通性。</w:t>
      </w:r>
    </w:p>
    <w:p w14:paraId="03DFE3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第十三条【规划调整公示】</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市绿道主管部门和市规划和自然资源部门在编制、调整绿道专项规划之前，应当征求相关部门意见，并将相关事项向社会公示，公示期限不得少于十个工作日。</w:t>
      </w:r>
    </w:p>
    <w:p w14:paraId="6AD9DE1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第十四条【绿道规划建设内容】</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绿道及其控制区内允许规划建设以下内容：</w:t>
      </w:r>
    </w:p>
    <w:p w14:paraId="09B71A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（一）游径系统，涵盖步行道、骑行道、慢跑道、综合慢行道以及交通衔接设施等；</w:t>
      </w:r>
    </w:p>
    <w:p w14:paraId="2C392A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（二）绿廊系统，涵盖绿化保护带、绿化隔离带等；</w:t>
      </w:r>
    </w:p>
    <w:p w14:paraId="12FF21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（三）配套设施系统，包括驿站、补给点等服务设施，市政设施，标识设施等。</w:t>
      </w:r>
    </w:p>
    <w:p w14:paraId="420564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第十五条【绿道控制区禁止建设】</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绿道控制区内禁止规划建设以下项目和设施：</w:t>
      </w:r>
    </w:p>
    <w:p w14:paraId="7EC658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（一）经营类城市建设项目：房地产开发、大中型商业设施、宾馆、工厂、仓储等；</w:t>
      </w:r>
    </w:p>
    <w:p w14:paraId="029250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（二）污染绿道环境项目：油库、堆场等；</w:t>
      </w:r>
    </w:p>
    <w:p w14:paraId="10A0DB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（三）其他与绿道建设、运营和管理无关的建（构）筑物。</w:t>
      </w:r>
    </w:p>
    <w:p w14:paraId="21C8C6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8"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第十六条【控制区改扩建要求】</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绿道控制区内已建合法建（构）筑物，不得擅自改建和扩建。</w:t>
      </w:r>
    </w:p>
    <w:p w14:paraId="4A6C2B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第十七条【绿道建设要求】</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绿道建设应当保护原有自然资源和人文景观，统一标准、统一标识，推广绿色建材以及可再生资源，并做好与城市更新、生态修复、文化保护等工作的衔接与协调。</w:t>
      </w:r>
    </w:p>
    <w:p w14:paraId="139BFA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驿站等服务设施的设置，应当符合绿道专项规划要求，匹配绿道功能需求，并优先利用已有建筑。</w:t>
      </w:r>
    </w:p>
    <w:p w14:paraId="28E5EC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第十八条【建设技术指引】</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市绿道主管部门应当制定绿道建设技术指引，规范全市绿道建设。</w:t>
      </w:r>
    </w:p>
    <w:p w14:paraId="5A41B1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建设单位应当定期向市绿道主管部门报告绿道建设项目进展情况，并接受其监督、检查。</w:t>
      </w:r>
    </w:p>
    <w:p w14:paraId="6A179F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 xml:space="preserve">绿道主管部门应当实行绿道建设信息共享，及时向规划和自然资源、交通运输、水务等部门通报绿道建设情况。                   </w:t>
      </w:r>
    </w:p>
    <w:p w14:paraId="32F12D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第十九条【工程建设要求】</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绿道建设工程的勘察、设计、施工、监理、竣工验收，应当符合国家相关法律法规规章以及强制性标准的规定。</w:t>
      </w:r>
    </w:p>
    <w:p w14:paraId="5D07955A">
      <w:pPr>
        <w:pStyle w:val="3"/>
        <w:pageBreakBefore w:val="0"/>
        <w:kinsoku/>
        <w:wordWrap/>
        <w:overflowPunct/>
        <w:topLinePunct w:val="0"/>
        <w:bidi w:val="0"/>
        <w:adjustRightInd/>
        <w:snapToGrid/>
        <w:spacing w:beforeAutospacing="0" w:afterAutospacing="0" w:line="578" w:lineRule="exact"/>
        <w:ind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color w:val="auto"/>
          <w:sz w:val="32"/>
          <w:szCs w:val="32"/>
          <w:highlight w:val="none"/>
          <w:shd w:val="clear" w:color="auto" w:fill="auto"/>
          <w:lang w:val="en-US" w:eastAsia="zh-CN" w:bidi="ar"/>
        </w:rPr>
        <w:t>第二十条</w:t>
      </w: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【档案管理】</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建设单位应当按照档案管理规定，收集、整理绿道工程文件资料，及时向城建档案管理机构和有关部门移交。</w:t>
      </w:r>
    </w:p>
    <w:p w14:paraId="1F20BB70">
      <w:pPr>
        <w:pageBreakBefore w:val="0"/>
        <w:kinsoku/>
        <w:wordWrap/>
        <w:overflowPunct/>
        <w:topLinePunct w:val="0"/>
        <w:bidi w:val="0"/>
        <w:adjustRightInd/>
        <w:snapToGrid/>
        <w:spacing w:beforeAutospacing="0" w:afterAutospacing="0" w:line="578" w:lineRule="exact"/>
        <w:textAlignment w:val="auto"/>
        <w:rPr>
          <w:rFonts w:hint="eastAsia"/>
          <w:lang w:val="en-US" w:eastAsia="zh-CN"/>
        </w:rPr>
      </w:pPr>
    </w:p>
    <w:p w14:paraId="7754D5BB">
      <w:pPr>
        <w:keepNext w:val="0"/>
        <w:keepLines w:val="0"/>
        <w:pageBreakBefore w:val="0"/>
        <w:widowControl w:val="0"/>
        <w:kinsoku/>
        <w:wordWrap/>
        <w:overflowPunct/>
        <w:topLinePunct w:val="0"/>
        <w:autoSpaceDE w:val="0"/>
        <w:autoSpaceDN w:val="0"/>
        <w:bidi w:val="0"/>
        <w:adjustRightInd/>
        <w:snapToGrid/>
        <w:spacing w:beforeAutospacing="0" w:afterAutospacing="0" w:line="578" w:lineRule="exact"/>
        <w:ind w:right="0"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第三章 运营和管理</w:t>
      </w:r>
    </w:p>
    <w:p w14:paraId="04C04B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0000FF"/>
          <w:spacing w:val="0"/>
          <w:kern w:val="0"/>
          <w:sz w:val="32"/>
          <w:szCs w:val="32"/>
          <w:highlight w:val="none"/>
          <w:u w:val="none"/>
          <w:shd w:val="clear" w:color="auto" w:fill="auto"/>
          <w:lang w:val="en-US" w:eastAsia="zh-CN" w:bidi="ar"/>
        </w:rPr>
      </w:pPr>
      <w:r>
        <w:rPr>
          <w:rFonts w:hint="eastAsia" w:ascii="黑体" w:hAnsi="黑体" w:eastAsia="黑体" w:cs="黑体"/>
          <w:color w:val="auto"/>
          <w:sz w:val="32"/>
          <w:szCs w:val="32"/>
          <w:highlight w:val="none"/>
          <w:shd w:val="clear" w:color="auto" w:fill="auto"/>
          <w:lang w:val="en-US" w:eastAsia="zh-CN" w:bidi="ar"/>
        </w:rPr>
        <w:t>第二十一条【管理职责】</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市绿道主管部门应当制定绿道管理维护技术指引，明确全市绿道管理维护标准，加强对各区绿道管理维护工作的检查、监管。</w:t>
      </w:r>
    </w:p>
    <w:p w14:paraId="2708E5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default"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绿道管理部门应当按照各自职责，制定休闲骑行道、远足径、碧道等配套管理制度，明确并细化管理要求，确定管理单位；加强对绿道的巡查、管理，确保绿道的正常使用。</w:t>
      </w:r>
    </w:p>
    <w:p w14:paraId="394908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default"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第二十二条【运营模式】</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绿道运营实行政府监管和市场化、专业化运作相结合的方式。绿道管理单位按照各自职责负责绿道的运营维护，也可以依法通过公开竞争等方式确定运营单位。</w:t>
      </w:r>
    </w:p>
    <w:p w14:paraId="1AFCEC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第二十三条【运营单位责任】</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运营单位应当保持绿道及其附属设施完好，负责日常维护保养、安全秩序以及周边的环境卫生；制定应急预案并落实安全保障措施，发生紧急、突发事件时及时启动应急预案，采取疏导、限流等措施，并按要求向绿道主管部门和有关部门报告。</w:t>
      </w:r>
    </w:p>
    <w:p w14:paraId="66FBBC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第二十四条【鼓励运营行为】</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鼓励运营单位将绿道与体育健身、文化展示、科普教育、休闲旅游等活动相结合，活化利用绿道沿线存量资源，打造多元业态。</w:t>
      </w:r>
    </w:p>
    <w:p w14:paraId="52B0C8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default"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第二十五条【经营规定】</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禁止擅自占用绿道从事经营活动。绿道管理部门可以根据方便群众、布局合理、监管有序的原则划定区域，设置便民服务设施，</w:t>
      </w:r>
      <w:r>
        <w:rPr>
          <w:rFonts w:hint="eastAsia" w:ascii="仿宋_GB2312" w:hAnsi="仿宋_GB2312" w:eastAsia="仿宋_GB2312" w:cs="仿宋_GB2312"/>
          <w:color w:val="auto"/>
          <w:kern w:val="2"/>
          <w:sz w:val="32"/>
          <w:szCs w:val="32"/>
          <w:highlight w:val="none"/>
          <w:lang w:val="en-US" w:eastAsia="zh-CN" w:bidi="ar-SA"/>
        </w:rPr>
        <w:t>对外开放，并保持环境卫生整洁</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w:t>
      </w:r>
    </w:p>
    <w:p w14:paraId="6ED11E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第二十六条【占用绿道规定】</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任何单位和个人不得擅自占用、挖掘绿道。</w:t>
      </w:r>
    </w:p>
    <w:p w14:paraId="3354FED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确因城市建设需要临时占用、挖掘绿道的，经相关绿道管理部门依法批准后方可实施，办理时限为自受理之日起五个工作日。</w:t>
      </w:r>
    </w:p>
    <w:p w14:paraId="1581C5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申请临时占用、挖掘绿道的期限最长不得超过六个月，占用时需设置临时通道，期满后应当及时恢复原状，并经相关绿道管理部门验收合格。确需延长占用期限的，应当在期限届满十五日前向原批准机关提出延期申请，延期期限不得超过原批准期限。</w:t>
      </w:r>
    </w:p>
    <w:p w14:paraId="3277C98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临时占用、挖掘与道路重合的绿道的，应当向交通运输部门以及公安交通管理部门申请，并依照道路管理的法律、法规和规章办理；临时占用、挖掘在河湖库等水利工程设施管理范围内绿道的，应当向水务部门申请，并依照水利工程管理的法律、法规和规章办理。</w:t>
      </w:r>
    </w:p>
    <w:p w14:paraId="5E233C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第二十七条【禁止行为】</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 xml:space="preserve">绿道及其控制区内禁止下列行为： </w:t>
      </w:r>
    </w:p>
    <w:p w14:paraId="5C4C94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（一）破坏绿道设施；</w:t>
      </w:r>
    </w:p>
    <w:p w14:paraId="112201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（二）堆放物品或者倾倒、排放污水、垃圾、渣土及其他废弃物；</w:t>
      </w:r>
    </w:p>
    <w:p w14:paraId="315C35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（三）养殖禽畜；</w:t>
      </w:r>
    </w:p>
    <w:p w14:paraId="57CA85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（四）生火、烧烤、燃放烟花爆竹、施放孔明灯；</w:t>
      </w:r>
    </w:p>
    <w:p w14:paraId="491AEC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（五）挖沙、采石、取土；</w:t>
      </w:r>
    </w:p>
    <w:p w14:paraId="7FFB44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（六）法律、法规和规章禁止的其他行为。</w:t>
      </w:r>
    </w:p>
    <w:p w14:paraId="64B54C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单位或者个人有前款行为的，运营单位应当及时劝阻、制止；劝阻、制止无效的，应当向绿道管理部门或者相关部门报告。</w:t>
      </w:r>
    </w:p>
    <w:p w14:paraId="2166E3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C00000"/>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第二十八条【通行规定】</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禁止机动车在省立绿道和城市绿道行驶和停放，因管理养护或者其他需要的除外。绿道管理部门根据相关法律法规和实际管理需要，可以划定电动自行车限制通行和停放的路段、时段并设置配套道路标识；在与道路重合的绿道上行驶和停放机动车、电动自行车的，依据道路管理相关的法律、法规和规章管理。</w:t>
      </w:r>
    </w:p>
    <w:p w14:paraId="7AE079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在绿道上设置前款道路标识的，由绿道管理部门征求公安交通管理部门的意见后设置并维护。在与道路重合的绿道上设置前款道路标识的，由绿道管理部门征求交通运输和公安交通管理部门的意见后设置并维护。</w:t>
      </w:r>
    </w:p>
    <w:p w14:paraId="64E754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第二十九条【人车分行】</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步行道和自行车道分开设置的绿道，行人和自行车应当各行其道；步行道和自行车道合并设置的绿道，骑行自行车应当控制行驶速度，避让行人。</w:t>
      </w:r>
    </w:p>
    <w:p w14:paraId="5D9436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自行车协会等社会组织可以制定自行车骑行准则，引导、规范自行车骑行者的行为。</w:t>
      </w:r>
    </w:p>
    <w:p w14:paraId="69BBCD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第三十条【自行车停放管理】</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绿道管理部门应当在有骑行功能的绿道沿线合理设置自行车停放区，引导市民规范停车，做好车辆停放秩序管理，并及时组织清运故障或者损坏的车辆至指定地点。</w:t>
      </w:r>
    </w:p>
    <w:p w14:paraId="4A4B18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第三十一条【安全保障】</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绿道管理部门应当建立常态化安全管理机制和巡查制度，制定应急预案，定期对其绿道管理范围内的边坡、临水路段等风险点开展安全检查与风险评估，建立隐患台账，发现隐患立即管控、报告并处置。</w:t>
      </w:r>
    </w:p>
    <w:p w14:paraId="48D551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绿道管理部门应当加强森林防火期、汛期、极端天气、法定节假日以及赛事活动前后等特殊时期的绿道安全管理，遇到突发异常情况，应当立即报告有关部门并及时采取应急措施。</w:t>
      </w:r>
    </w:p>
    <w:p w14:paraId="331834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第三十二条【信息公布】</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绿道管理部门应当公开特色步道、休闲骑行道、远足径等绿道线路、开放时间、活动安排和注意事项等，方便群众获取相关信息。</w:t>
      </w:r>
    </w:p>
    <w:p w14:paraId="3E156B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因森林防火、防汛、极端天气等封闭绿道的，绿道管理部门应当及时发布封闭和恢复开放信息。</w:t>
      </w:r>
    </w:p>
    <w:p w14:paraId="4AD4FA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宋体" w:eastAsia="仿宋_GB2312" w:cs="仿宋_GB2312"/>
          <w:color w:val="auto"/>
          <w:kern w:val="0"/>
          <w:sz w:val="32"/>
          <w:szCs w:val="32"/>
          <w:highlight w:val="none"/>
          <w:lang w:val="en-US" w:eastAsia="zh-CN" w:bidi="ar"/>
        </w:rPr>
      </w:pPr>
    </w:p>
    <w:p w14:paraId="16CCFFA5">
      <w:pPr>
        <w:keepNext w:val="0"/>
        <w:keepLines w:val="0"/>
        <w:pageBreakBefore w:val="0"/>
        <w:widowControl w:val="0"/>
        <w:kinsoku/>
        <w:wordWrap/>
        <w:overflowPunct/>
        <w:topLinePunct w:val="0"/>
        <w:autoSpaceDE w:val="0"/>
        <w:autoSpaceDN w:val="0"/>
        <w:bidi w:val="0"/>
        <w:adjustRightInd/>
        <w:snapToGrid/>
        <w:spacing w:beforeAutospacing="0" w:afterAutospacing="0" w:line="578" w:lineRule="exact"/>
        <w:ind w:right="0"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第四章 法律责任</w:t>
      </w:r>
    </w:p>
    <w:p w14:paraId="1429EF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第三十三条【管理部门责任】</w:t>
      </w:r>
      <w:r>
        <w:rPr>
          <w:rFonts w:hint="eastAsia"/>
          <w:color w:val="auto"/>
          <w:highlight w:val="none"/>
        </w:rPr>
        <w:t xml:space="preserve"> </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绿道管理部门和其他相关部门及其工作人员未依法履行职责，在绿道管理工作中滥用职权、玩忽职守、徇私舞弊的，依法给予处分；构成犯罪的，依法追究刑事责任。</w:t>
      </w:r>
    </w:p>
    <w:p w14:paraId="22248C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default"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第三十四条【未履行维护义务罚则】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违反本办法第二十三条规定，运营单位未按规定保持绿道及其附属设施完好的，由绿道管理部门责令限期改正；逾期不改正的，处二千元以上五千元以下罚款。</w:t>
      </w:r>
    </w:p>
    <w:p w14:paraId="0A2CE9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default"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第三十五条【违规占用经营罚则】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五条规定，擅自占用绿道从事经营活动的，由绿道管理部门责令限期改正，逾期不改正的，按所占用绿道面积每平方米五百元以上二千元以下处以罚款，不足一平方米的按照一平方米计算，最高不超过二万元。</w:t>
      </w:r>
    </w:p>
    <w:p w14:paraId="3EC486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第三十六条【违规占用罚则】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 xml:space="preserve">违反本办法第二十六条第一款、第三款规定，擅自占用、挖掘绿道，或者临时占用、挖掘绿道超过规定期限未恢复原状的，由绿道管理部门责令限期改正，恢复原状，按照占用、挖掘绿道面积每平方米五百元以上二千元以下处以罚款，不足一平方米的按照一平方米计算，最高不超过二十万元。 </w:t>
      </w:r>
    </w:p>
    <w:p w14:paraId="75CFA2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六条第四款规定，未经批准临时占用、挖掘与道路重合的绿道的，由交通运输部门或者公安交通管理部门依法处理。未经批准临时占用、挖掘河湖库等水利工程设施管理范围内绿道的，由水务部门依法处理。</w:t>
      </w:r>
    </w:p>
    <w:p w14:paraId="04CF30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第三十七条【禁止行为罚则】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违反本办法第二十七条第（一)项规定的，由绿道管理部门责令限期改正，恢复原状；逾期未改正的，处五百元以上二千元以下罚款。</w:t>
      </w:r>
    </w:p>
    <w:p w14:paraId="6FEA3A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七条第（二）（三）（五）项规定的，由绿道管理部门责令限期改正，恢复原状；逾期未改正的，按照所占用或者损毁面积每平方米五百元以上二千元以下处以罚款，不足一平方米的按照一平方米计算，最高不超过二万元。</w:t>
      </w:r>
    </w:p>
    <w:p w14:paraId="6036B1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违反本办法第二十七条第（四）项规定的，由绿道管理部门责令改正，处五百元以上二千元以下罚款。</w:t>
      </w:r>
    </w:p>
    <w:p w14:paraId="60B7B3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第三十八条【违规行停罚则】</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违反本办法第二十八条第一款规定，机动车、电动自行车在绿道禁行、限行的路段和时段行驶的，由市公安交通管理部门处二百元罚款。</w:t>
      </w:r>
    </w:p>
    <w:p w14:paraId="1AE97B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违反本办法第二十八条第一款规定，机动车、电动自行车在绿道禁停、限行的路段和时段停放的，由绿道管理部门责令限时改正；拒不改正的，由相关部门依法处理。</w:t>
      </w:r>
    </w:p>
    <w:p w14:paraId="6F4D8C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第三十九条【其他违法行为处理】</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本办法未规定的、在绿道内有其他违反城市管理、道路管理、水务管理、规划和自然资源管理行为的，依照相关法律、法规和规章处理。</w:t>
      </w:r>
    </w:p>
    <w:p w14:paraId="31D7CD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方正仿宋_GB2312" w:hAnsi="方正仿宋_GB2312" w:eastAsia="方正仿宋_GB2312" w:cs="方正仿宋_GB2312"/>
          <w:b w:val="0"/>
          <w:bCs w:val="0"/>
          <w:i w:val="0"/>
          <w:iCs w:val="0"/>
          <w:caps w:val="0"/>
          <w:color w:val="0000FF"/>
          <w:spacing w:val="0"/>
          <w:kern w:val="0"/>
          <w:sz w:val="32"/>
          <w:szCs w:val="32"/>
          <w:highlight w:val="none"/>
          <w:u w:val="none"/>
          <w:shd w:val="clear" w:color="auto" w:fill="auto"/>
          <w:lang w:val="en-US" w:eastAsia="zh-CN" w:bidi="ar"/>
        </w:rPr>
      </w:pPr>
    </w:p>
    <w:p w14:paraId="142BEC1B">
      <w:pPr>
        <w:keepNext w:val="0"/>
        <w:keepLines w:val="0"/>
        <w:pageBreakBefore w:val="0"/>
        <w:widowControl w:val="0"/>
        <w:kinsoku/>
        <w:wordWrap/>
        <w:overflowPunct/>
        <w:topLinePunct w:val="0"/>
        <w:autoSpaceDE w:val="0"/>
        <w:autoSpaceDN w:val="0"/>
        <w:bidi w:val="0"/>
        <w:adjustRightInd/>
        <w:snapToGrid/>
        <w:spacing w:beforeAutospacing="0" w:afterAutospacing="0" w:line="578" w:lineRule="exact"/>
        <w:ind w:right="0"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第五章  附则</w:t>
      </w:r>
    </w:p>
    <w:p w14:paraId="7F97E3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8"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pPr>
      <w:r>
        <w:rPr>
          <w:rFonts w:hint="eastAsia" w:ascii="黑体" w:hAnsi="黑体" w:eastAsia="黑体" w:cs="黑体"/>
          <w:b w:val="0"/>
          <w:bCs w:val="0"/>
          <w:i w:val="0"/>
          <w:iCs w:val="0"/>
          <w:caps w:val="0"/>
          <w:color w:val="auto"/>
          <w:spacing w:val="0"/>
          <w:kern w:val="0"/>
          <w:sz w:val="32"/>
          <w:szCs w:val="32"/>
          <w:highlight w:val="none"/>
          <w:u w:val="none"/>
          <w:shd w:val="clear" w:color="auto" w:fill="auto"/>
          <w:lang w:val="en-US" w:eastAsia="zh-CN" w:bidi="ar"/>
        </w:rPr>
        <w:t>第四十条【实施时间】</w:t>
      </w:r>
      <w:r>
        <w:rPr>
          <w:rFonts w:hint="eastAsia" w:ascii="仿宋_GB2312" w:hAnsi="仿宋_GB2312" w:eastAsia="仿宋_GB2312"/>
          <w:b w:val="0"/>
          <w:bCs w:val="0"/>
          <w:i w:val="0"/>
          <w:iCs w:val="0"/>
          <w:caps w:val="0"/>
          <w:color w:val="auto"/>
          <w:spacing w:val="0"/>
          <w:kern w:val="0"/>
          <w:sz w:val="32"/>
          <w:szCs w:val="32"/>
          <w:highlight w:val="none"/>
          <w:u w:val="none"/>
          <w:shd w:val="clear" w:color="auto" w:fill="auto"/>
          <w:lang w:val="en-US" w:eastAsia="en-US" w:bidi="en-US"/>
        </w:rPr>
        <w:t>本</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en-US" w:bidi="ar"/>
        </w:rPr>
        <w:t>办法</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自Ｘ年Ｘ月Ｘ日起施行。</w:t>
      </w:r>
    </w:p>
    <w:p w14:paraId="76D950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8EED5D-9BB1-4592-B9C2-FE1E9A551A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196E805-7043-4630-AA16-3E46FCAF926A}"/>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3" w:fontKey="{1A2FC113-749B-4E04-9A99-6C70D79FB5B7}"/>
  </w:font>
  <w:font w:name="楷体_GB2312">
    <w:altName w:val="楷体"/>
    <w:panose1 w:val="02010609030101010101"/>
    <w:charset w:val="86"/>
    <w:family w:val="auto"/>
    <w:pitch w:val="default"/>
    <w:sig w:usb0="00000000" w:usb1="00000000" w:usb2="00000000" w:usb3="00000000" w:csb0="00040000" w:csb1="00000000"/>
    <w:embedRegular r:id="rId4" w:fontKey="{9EA14D92-57AE-4394-9BFE-8AD4BA26332D}"/>
  </w:font>
  <w:font w:name="仿宋_GB2312">
    <w:panose1 w:val="02010609030101010101"/>
    <w:charset w:val="86"/>
    <w:family w:val="modern"/>
    <w:pitch w:val="default"/>
    <w:sig w:usb0="00000001" w:usb1="080E0000" w:usb2="00000000" w:usb3="00000000" w:csb0="00040000" w:csb1="00000000"/>
    <w:embedRegular r:id="rId5" w:fontKey="{6C5B4029-52FB-436A-BE48-EFF149B54D37}"/>
  </w:font>
  <w:font w:name="方正仿宋_GB2312">
    <w:panose1 w:val="02000000000000000000"/>
    <w:charset w:val="86"/>
    <w:family w:val="auto"/>
    <w:pitch w:val="default"/>
    <w:sig w:usb0="A00002BF" w:usb1="184F6CFA" w:usb2="00000012" w:usb3="00000000" w:csb0="00040001" w:csb1="00000000"/>
    <w:embedRegular r:id="rId6" w:fontKey="{AE79FB8F-F3E2-41BD-8E0C-AAFB643D270E}"/>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EE7924"/>
    <w:multiLevelType w:val="singleLevel"/>
    <w:tmpl w:val="1FEE7924"/>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AF7BA7"/>
    <w:rsid w:val="6DAF7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widowControl/>
      <w:kinsoku w:val="0"/>
      <w:autoSpaceDE w:val="0"/>
      <w:autoSpaceDN w:val="0"/>
      <w:adjustRightInd w:val="0"/>
      <w:snapToGrid w:val="0"/>
      <w:spacing w:before="100" w:beforeAutospacing="1" w:after="100" w:afterAutospacing="1"/>
      <w:jc w:val="left"/>
      <w:textAlignment w:val="baseline"/>
      <w:outlineLvl w:val="2"/>
    </w:pPr>
    <w:rPr>
      <w:rFonts w:hint="eastAsia" w:ascii="宋体" w:hAnsi="宋体" w:eastAsia="宋体" w:cs="Times New Roman"/>
      <w:b/>
      <w:snapToGrid w:val="0"/>
      <w:color w:val="000000"/>
      <w:kern w:val="0"/>
      <w:sz w:val="27"/>
      <w:szCs w:val="27"/>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line="560" w:lineRule="atLeast"/>
    </w:pPr>
    <w:rPr>
      <w:rFonts w:ascii="等线" w:hAnsi="等线" w:eastAsia="等线" w:cs="Times New Roman"/>
      <w:szCs w:val="22"/>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正文_0"/>
    <w:next w:val="3"/>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2026-07-15T02:27:00Z</dcterms:created>
  <dc:creator>阿营</dc:creator>
  <cp:lastModifiedBy>阿营</cp:lastModifiedBy>
  <dcterms:modified xsi:type="dcterms:W3CDTF">2026-07-15T02:28:26Z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DC2BEC9B1D3A497E9EF0017B2A4855AB_11</vt:lpwstr>
  </property>
  <property fmtid="{D5CDD505-2E9C-101B-9397-08002B2CF9AE}" pid="4" name="KSOTemplateDocerSaveRecord">
    <vt:lpwstr>eyJoZGlkIjoiOTE5MGUyN2E3NzM2MGExODZlOWY3N2U1NWY5MzA5MTciLCJ1c2VySWQiOiI0MTE2MDgyODUifQ==</vt:lpwstr>
  </property>
</Properties>
</file>